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05D" w:rsidRDefault="006E205D" w:rsidP="006E205D">
      <w:pPr>
        <w:pStyle w:val="a4"/>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0"/>
        <w:gridCol w:w="3496"/>
      </w:tblGrid>
      <w:tr w:rsidR="006E205D" w:rsidTr="006E205D">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6E205D" w:rsidRDefault="006E205D">
                <w:pPr>
                  <w:pStyle w:val="a4"/>
                  <w:jc w:val="center"/>
                  <w:rPr>
                    <w:rFonts w:ascii="Tahoma" w:hAnsi="Tahoma"/>
                    <w:color w:val="000080"/>
                    <w:sz w:val="32"/>
                    <w:szCs w:val="32"/>
                    <w:rtl/>
                  </w:rPr>
                </w:pPr>
                <w:r>
                  <w:rPr>
                    <w:rFonts w:ascii="Tahoma" w:hAnsi="Tahoma"/>
                    <w:color w:val="000080"/>
                    <w:sz w:val="32"/>
                    <w:szCs w:val="32"/>
                    <w:rtl/>
                  </w:rPr>
                  <w:t>בית משפט לענייני משפחה באילת</w:t>
                </w:r>
              </w:p>
            </w:tc>
          </w:sdtContent>
        </w:sdt>
      </w:tr>
      <w:tr w:rsidR="006E205D" w:rsidTr="006E205D">
        <w:trPr>
          <w:trHeight w:val="337"/>
          <w:jc w:val="center"/>
        </w:trPr>
        <w:tc>
          <w:tcPr>
            <w:tcW w:w="5047" w:type="dxa"/>
          </w:tcPr>
          <w:p w:rsidR="006E205D" w:rsidRDefault="006E205D">
            <w:pPr>
              <w:rPr>
                <w:b/>
                <w:bCs/>
                <w:noProof w:val="0"/>
                <w:sz w:val="26"/>
                <w:szCs w:val="26"/>
                <w:rtl/>
              </w:rPr>
            </w:pPr>
          </w:p>
        </w:tc>
        <w:tc>
          <w:tcPr>
            <w:tcW w:w="3674" w:type="dxa"/>
          </w:tcPr>
          <w:p w:rsidR="006E205D" w:rsidRDefault="006E205D">
            <w:pPr>
              <w:pStyle w:val="a4"/>
              <w:jc w:val="right"/>
              <w:rPr>
                <w:b/>
                <w:bCs/>
                <w:noProof w:val="0"/>
                <w:sz w:val="26"/>
                <w:szCs w:val="26"/>
                <w:rtl/>
              </w:rPr>
            </w:pPr>
          </w:p>
        </w:tc>
      </w:tr>
      <w:tr w:rsidR="006E205D" w:rsidTr="006E205D">
        <w:trPr>
          <w:trHeight w:val="337"/>
          <w:jc w:val="center"/>
        </w:trPr>
        <w:tc>
          <w:tcPr>
            <w:tcW w:w="8721" w:type="dxa"/>
            <w:gridSpan w:val="2"/>
          </w:tcPr>
          <w:p w:rsidR="006E205D" w:rsidRDefault="006E205D" w:rsidP="00EB4A4C">
            <w:pPr>
              <w:rPr>
                <w:b/>
                <w:bCs/>
                <w:noProof w:val="0"/>
                <w:sz w:val="26"/>
                <w:szCs w:val="26"/>
                <w:rtl/>
              </w:rPr>
            </w:pPr>
            <w:proofErr w:type="spellStart"/>
            <w:r>
              <w:rPr>
                <w:b/>
                <w:bCs/>
                <w:noProof w:val="0"/>
                <w:sz w:val="26"/>
                <w:szCs w:val="26"/>
                <w:rtl/>
              </w:rPr>
              <w:t>תמ"ש</w:t>
            </w:r>
            <w:proofErr w:type="spellEnd"/>
            <w:r>
              <w:rPr>
                <w:b/>
                <w:bCs/>
                <w:noProof w:val="0"/>
                <w:sz w:val="26"/>
                <w:szCs w:val="26"/>
                <w:rtl/>
              </w:rPr>
              <w:t xml:space="preserve"> 38052-10-18 ח</w:t>
            </w:r>
            <w:r w:rsidR="00EB4A4C">
              <w:rPr>
                <w:rFonts w:hint="cs"/>
                <w:b/>
                <w:bCs/>
                <w:noProof w:val="0"/>
                <w:sz w:val="26"/>
                <w:szCs w:val="26"/>
                <w:rtl/>
              </w:rPr>
              <w:t xml:space="preserve">. </w:t>
            </w:r>
            <w:r>
              <w:rPr>
                <w:b/>
                <w:bCs/>
                <w:noProof w:val="0"/>
                <w:sz w:val="26"/>
                <w:szCs w:val="26"/>
                <w:rtl/>
              </w:rPr>
              <w:t>ואח' נ' ק</w:t>
            </w:r>
            <w:r w:rsidR="00EB4A4C">
              <w:rPr>
                <w:rFonts w:hint="cs"/>
                <w:b/>
                <w:bCs/>
                <w:noProof w:val="0"/>
                <w:sz w:val="26"/>
                <w:szCs w:val="26"/>
                <w:rtl/>
              </w:rPr>
              <w:t>.</w:t>
            </w:r>
            <w:r>
              <w:rPr>
                <w:b/>
                <w:bCs/>
                <w:noProof w:val="0"/>
                <w:sz w:val="26"/>
                <w:szCs w:val="26"/>
                <w:rtl/>
              </w:rPr>
              <w:t>(המנוח) ואח'</w:t>
            </w:r>
          </w:p>
          <w:p w:rsidR="006E205D" w:rsidRDefault="006E205D">
            <w:pPr>
              <w:rPr>
                <w:b/>
                <w:bCs/>
                <w:noProof w:val="0"/>
                <w:sz w:val="2"/>
                <w:szCs w:val="2"/>
                <w:rtl/>
              </w:rPr>
            </w:pPr>
          </w:p>
          <w:p w:rsidR="006E205D" w:rsidRDefault="006E205D">
            <w:pPr>
              <w:rPr>
                <w:sz w:val="20"/>
                <w:szCs w:val="20"/>
                <w:rtl/>
              </w:rPr>
            </w:pPr>
            <w:r>
              <w:rPr>
                <w:rtl/>
              </w:rPr>
              <w:t xml:space="preserve">                           </w:t>
            </w:r>
            <w:r>
              <w:rPr>
                <w:sz w:val="20"/>
                <w:szCs w:val="20"/>
                <w:rtl/>
              </w:rPr>
              <w:t xml:space="preserve">                                       </w:t>
            </w:r>
          </w:p>
          <w:p w:rsidR="006E205D" w:rsidRDefault="006E205D">
            <w:pPr>
              <w:rPr>
                <w:sz w:val="20"/>
                <w:szCs w:val="20"/>
                <w:rtl/>
              </w:rPr>
            </w:pPr>
          </w:p>
        </w:tc>
      </w:tr>
    </w:tbl>
    <w:p w:rsidR="006E205D" w:rsidRPr="006E205D" w:rsidRDefault="006E205D" w:rsidP="006E205D">
      <w:pPr>
        <w:suppressLineNumbers/>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E205D" w:rsidTr="006E205D">
        <w:trPr>
          <w:jc w:val="center"/>
        </w:trPr>
        <w:tc>
          <w:tcPr>
            <w:tcW w:w="743" w:type="dxa"/>
            <w:hideMark/>
          </w:tcPr>
          <w:p w:rsidR="006E205D" w:rsidRDefault="006E205D">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tcPr>
          <w:p w:rsidR="006E205D" w:rsidRDefault="006E205D">
            <w:pPr>
              <w:suppressLineNumbers/>
              <w:jc w:val="left"/>
              <w:rPr>
                <w:rFonts w:ascii="Arial" w:hAnsi="Arial" w:cs="FrankRuehl"/>
                <w:sz w:val="26"/>
                <w:szCs w:val="26"/>
                <w:highlight w:val="yellow"/>
                <w:rtl/>
              </w:rPr>
            </w:pPr>
            <w:r>
              <w:rPr>
                <w:rFonts w:ascii="Arial" w:hAnsi="Arial"/>
                <w:b/>
                <w:bCs/>
                <w:sz w:val="26"/>
                <w:szCs w:val="26"/>
                <w:rtl/>
              </w:rPr>
              <w:t>כב' סגן הנשיא, השופט מרדכי (מוטי) לוי</w:t>
            </w:r>
          </w:p>
          <w:p w:rsidR="006E205D" w:rsidRDefault="006E205D">
            <w:pPr>
              <w:suppressLineNumbers/>
              <w:rPr>
                <w:rFonts w:ascii="Arial" w:hAnsi="Arial" w:cs="FrankRuehl"/>
                <w:sz w:val="26"/>
                <w:szCs w:val="26"/>
                <w:highlight w:val="yellow"/>
                <w:rtl/>
              </w:rPr>
            </w:pPr>
          </w:p>
        </w:tc>
      </w:tr>
      <w:tr w:rsidR="006E205D" w:rsidTr="006E205D">
        <w:trPr>
          <w:jc w:val="center"/>
        </w:trPr>
        <w:tc>
          <w:tcPr>
            <w:tcW w:w="3249" w:type="dxa"/>
            <w:gridSpan w:val="2"/>
          </w:tcPr>
          <w:p w:rsidR="006E205D" w:rsidRDefault="006E205D">
            <w:pPr>
              <w:suppressLineNumbers/>
              <w:rPr>
                <w:rFonts w:ascii="Arial" w:hAnsi="Arial"/>
                <w:b/>
                <w:bCs/>
                <w:noProof w:val="0"/>
                <w:sz w:val="26"/>
                <w:szCs w:val="26"/>
              </w:rPr>
            </w:pPr>
          </w:p>
          <w:p w:rsidR="006E205D" w:rsidRDefault="006E205D">
            <w:pPr>
              <w:suppressLineNumbers/>
              <w:jc w:val="left"/>
              <w:rPr>
                <w:rFonts w:ascii="Arial" w:hAnsi="Arial"/>
                <w:b/>
                <w:bCs/>
                <w:noProof w:val="0"/>
                <w:sz w:val="26"/>
                <w:szCs w:val="26"/>
              </w:rPr>
            </w:pPr>
            <w:r>
              <w:rPr>
                <w:rFonts w:ascii="Arial" w:hAnsi="Arial"/>
                <w:b/>
                <w:bCs/>
                <w:noProof w:val="0"/>
                <w:sz w:val="26"/>
                <w:szCs w:val="26"/>
                <w:rtl/>
              </w:rPr>
              <w:t>מבקשת</w:t>
            </w:r>
          </w:p>
        </w:tc>
        <w:tc>
          <w:tcPr>
            <w:tcW w:w="5571" w:type="dxa"/>
          </w:tcPr>
          <w:p w:rsidR="006E205D" w:rsidRDefault="006E205D">
            <w:pPr>
              <w:suppressLineNumbers/>
              <w:rPr>
                <w:rFonts w:ascii="Arial" w:hAnsi="Arial"/>
                <w:b/>
                <w:bCs/>
                <w:noProof w:val="0"/>
                <w:sz w:val="26"/>
                <w:szCs w:val="26"/>
                <w:rtl/>
              </w:rPr>
            </w:pPr>
          </w:p>
          <w:p w:rsidR="006E205D" w:rsidRDefault="006E205D" w:rsidP="00EB4A4C">
            <w:pPr>
              <w:suppressLineNumbers/>
              <w:jc w:val="left"/>
              <w:rPr>
                <w:b/>
                <w:bCs/>
                <w:noProof w:val="0"/>
                <w:sz w:val="26"/>
                <w:szCs w:val="26"/>
                <w:rtl/>
              </w:rPr>
            </w:pPr>
            <w:r>
              <w:rPr>
                <w:rFonts w:ascii="Arial" w:hAnsi="Arial"/>
                <w:b/>
                <w:bCs/>
                <w:noProof w:val="0"/>
                <w:sz w:val="26"/>
                <w:szCs w:val="26"/>
                <w:rtl/>
              </w:rPr>
              <w:t>מ</w:t>
            </w:r>
            <w:r w:rsidR="00EB4A4C">
              <w:rPr>
                <w:rFonts w:ascii="Arial" w:hAnsi="Arial" w:hint="cs"/>
                <w:b/>
                <w:bCs/>
                <w:noProof w:val="0"/>
                <w:sz w:val="26"/>
                <w:szCs w:val="26"/>
                <w:rtl/>
              </w:rPr>
              <w:t>.</w:t>
            </w:r>
            <w:r>
              <w:rPr>
                <w:rFonts w:ascii="Arial" w:hAnsi="Arial"/>
                <w:b/>
                <w:bCs/>
                <w:noProof w:val="0"/>
                <w:sz w:val="26"/>
                <w:szCs w:val="26"/>
                <w:rtl/>
              </w:rPr>
              <w:t>ח</w:t>
            </w:r>
            <w:r w:rsidR="00EB4A4C">
              <w:rPr>
                <w:rFonts w:ascii="Arial" w:hAnsi="Arial" w:hint="cs"/>
                <w:b/>
                <w:bCs/>
                <w:noProof w:val="0"/>
                <w:sz w:val="26"/>
                <w:szCs w:val="26"/>
                <w:rtl/>
              </w:rPr>
              <w:t>.</w:t>
            </w:r>
          </w:p>
          <w:p w:rsidR="006E205D" w:rsidRDefault="006E205D">
            <w:pPr>
              <w:suppressLineNumbers/>
              <w:jc w:val="left"/>
              <w:rPr>
                <w:noProof w:val="0"/>
                <w:rtl/>
              </w:rPr>
            </w:pPr>
            <w:r>
              <w:rPr>
                <w:noProof w:val="0"/>
                <w:rtl/>
              </w:rPr>
              <w:t xml:space="preserve">מיוצגת ע"י עו"ד טל </w:t>
            </w:r>
            <w:proofErr w:type="spellStart"/>
            <w:r>
              <w:rPr>
                <w:noProof w:val="0"/>
                <w:rtl/>
              </w:rPr>
              <w:t>ליזרוביץ</w:t>
            </w:r>
            <w:proofErr w:type="spellEnd"/>
          </w:p>
        </w:tc>
      </w:tr>
      <w:tr w:rsidR="006E205D" w:rsidTr="006E205D">
        <w:trPr>
          <w:jc w:val="center"/>
        </w:trPr>
        <w:tc>
          <w:tcPr>
            <w:tcW w:w="8820" w:type="dxa"/>
            <w:gridSpan w:val="3"/>
          </w:tcPr>
          <w:p w:rsidR="006E205D" w:rsidRDefault="006E205D">
            <w:pPr>
              <w:suppressLineNumbers/>
              <w:rPr>
                <w:rFonts w:ascii="Arial" w:hAnsi="Arial"/>
                <w:b/>
                <w:bCs/>
                <w:noProof w:val="0"/>
                <w:sz w:val="26"/>
                <w:szCs w:val="26"/>
              </w:rPr>
            </w:pPr>
          </w:p>
          <w:p w:rsidR="006E205D" w:rsidRDefault="006E205D">
            <w:pPr>
              <w:suppressLineNumbers/>
              <w:jc w:val="center"/>
              <w:rPr>
                <w:rFonts w:ascii="Arial" w:hAnsi="Arial"/>
                <w:b/>
                <w:bCs/>
                <w:noProof w:val="0"/>
                <w:sz w:val="26"/>
                <w:szCs w:val="26"/>
                <w:rtl/>
              </w:rPr>
            </w:pPr>
            <w:r>
              <w:rPr>
                <w:rFonts w:ascii="Arial" w:hAnsi="Arial"/>
                <w:b/>
                <w:bCs/>
                <w:noProof w:val="0"/>
                <w:sz w:val="26"/>
                <w:szCs w:val="26"/>
                <w:rtl/>
              </w:rPr>
              <w:t>נגד</w:t>
            </w:r>
          </w:p>
        </w:tc>
      </w:tr>
      <w:tr w:rsidR="006E205D" w:rsidTr="006E205D">
        <w:trPr>
          <w:jc w:val="center"/>
        </w:trPr>
        <w:tc>
          <w:tcPr>
            <w:tcW w:w="3249" w:type="dxa"/>
            <w:gridSpan w:val="2"/>
          </w:tcPr>
          <w:p w:rsidR="006E205D" w:rsidRDefault="006E205D">
            <w:pPr>
              <w:suppressLineNumbers/>
              <w:rPr>
                <w:rFonts w:ascii="Arial" w:hAnsi="Arial"/>
                <w:b/>
                <w:bCs/>
                <w:noProof w:val="0"/>
                <w:sz w:val="26"/>
                <w:szCs w:val="26"/>
              </w:rPr>
            </w:pPr>
          </w:p>
          <w:p w:rsidR="006E205D" w:rsidRDefault="006E205D">
            <w:pPr>
              <w:suppressLineNumbers/>
              <w:jc w:val="left"/>
              <w:rPr>
                <w:rFonts w:ascii="Arial" w:hAnsi="Arial"/>
                <w:b/>
                <w:bCs/>
                <w:noProof w:val="0"/>
                <w:sz w:val="26"/>
                <w:szCs w:val="26"/>
                <w:rtl/>
              </w:rPr>
            </w:pPr>
            <w:r>
              <w:rPr>
                <w:rFonts w:ascii="Arial" w:hAnsi="Arial"/>
                <w:b/>
                <w:bCs/>
                <w:noProof w:val="0"/>
                <w:sz w:val="26"/>
                <w:szCs w:val="26"/>
                <w:rtl/>
              </w:rPr>
              <w:t>משיבים</w:t>
            </w:r>
          </w:p>
        </w:tc>
        <w:tc>
          <w:tcPr>
            <w:tcW w:w="5571" w:type="dxa"/>
          </w:tcPr>
          <w:p w:rsidR="006E205D" w:rsidRDefault="006E205D">
            <w:pPr>
              <w:suppressLineNumbers/>
              <w:rPr>
                <w:rFonts w:ascii="Arial" w:hAnsi="Arial"/>
                <w:b/>
                <w:bCs/>
                <w:noProof w:val="0"/>
                <w:sz w:val="26"/>
                <w:szCs w:val="26"/>
              </w:rPr>
            </w:pPr>
          </w:p>
          <w:p w:rsidR="006E205D" w:rsidRDefault="006E205D" w:rsidP="00EB4A4C">
            <w:pPr>
              <w:suppressLineNumbers/>
              <w:jc w:val="left"/>
              <w:rPr>
                <w:b/>
                <w:bCs/>
                <w:noProof w:val="0"/>
                <w:sz w:val="26"/>
                <w:szCs w:val="26"/>
                <w:rtl/>
              </w:rPr>
            </w:pPr>
            <w:r>
              <w:rPr>
                <w:rFonts w:ascii="Arial" w:hAnsi="Arial"/>
                <w:b/>
                <w:bCs/>
                <w:noProof w:val="0"/>
                <w:sz w:val="26"/>
                <w:szCs w:val="26"/>
                <w:rtl/>
              </w:rPr>
              <w:t>1. ג</w:t>
            </w:r>
            <w:r w:rsidR="00EB4A4C">
              <w:rPr>
                <w:rFonts w:ascii="Arial" w:hAnsi="Arial" w:hint="cs"/>
                <w:b/>
                <w:bCs/>
                <w:noProof w:val="0"/>
                <w:sz w:val="26"/>
                <w:szCs w:val="26"/>
                <w:rtl/>
              </w:rPr>
              <w:t>.</w:t>
            </w:r>
            <w:r>
              <w:rPr>
                <w:rFonts w:ascii="Arial" w:hAnsi="Arial"/>
                <w:b/>
                <w:bCs/>
                <w:noProof w:val="0"/>
                <w:sz w:val="26"/>
                <w:szCs w:val="26"/>
                <w:rtl/>
              </w:rPr>
              <w:t xml:space="preserve"> ק</w:t>
            </w:r>
            <w:r w:rsidR="00EB4A4C">
              <w:rPr>
                <w:rFonts w:ascii="Arial" w:hAnsi="Arial" w:hint="cs"/>
                <w:b/>
                <w:bCs/>
                <w:noProof w:val="0"/>
                <w:sz w:val="26"/>
                <w:szCs w:val="26"/>
                <w:rtl/>
              </w:rPr>
              <w:t>.</w:t>
            </w:r>
          </w:p>
          <w:p w:rsidR="006E205D" w:rsidRDefault="006E205D" w:rsidP="00EB4A4C">
            <w:pPr>
              <w:suppressLineNumbers/>
              <w:jc w:val="left"/>
              <w:rPr>
                <w:b/>
                <w:bCs/>
                <w:noProof w:val="0"/>
                <w:sz w:val="26"/>
                <w:szCs w:val="26"/>
                <w:rtl/>
              </w:rPr>
            </w:pPr>
            <w:r>
              <w:rPr>
                <w:rFonts w:ascii="Arial" w:hAnsi="Arial"/>
                <w:b/>
                <w:bCs/>
                <w:noProof w:val="0"/>
                <w:sz w:val="26"/>
                <w:szCs w:val="26"/>
                <w:rtl/>
              </w:rPr>
              <w:t>2. ב</w:t>
            </w:r>
            <w:r w:rsidR="00EB4A4C">
              <w:rPr>
                <w:rFonts w:ascii="Arial" w:hAnsi="Arial" w:hint="cs"/>
                <w:b/>
                <w:bCs/>
                <w:noProof w:val="0"/>
                <w:sz w:val="26"/>
                <w:szCs w:val="26"/>
                <w:rtl/>
              </w:rPr>
              <w:t>.</w:t>
            </w:r>
            <w:r>
              <w:rPr>
                <w:rFonts w:ascii="Arial" w:hAnsi="Arial"/>
                <w:b/>
                <w:bCs/>
                <w:noProof w:val="0"/>
                <w:sz w:val="26"/>
                <w:szCs w:val="26"/>
                <w:rtl/>
              </w:rPr>
              <w:t xml:space="preserve"> ק</w:t>
            </w:r>
            <w:r w:rsidR="00EB4A4C">
              <w:rPr>
                <w:rFonts w:ascii="Arial" w:hAnsi="Arial" w:hint="cs"/>
                <w:b/>
                <w:bCs/>
                <w:noProof w:val="0"/>
                <w:sz w:val="26"/>
                <w:szCs w:val="26"/>
                <w:rtl/>
              </w:rPr>
              <w:t>.</w:t>
            </w:r>
          </w:p>
          <w:p w:rsidR="006E205D" w:rsidRDefault="006E205D" w:rsidP="00EB4A4C">
            <w:pPr>
              <w:suppressLineNumbers/>
              <w:jc w:val="left"/>
              <w:rPr>
                <w:b/>
                <w:bCs/>
                <w:noProof w:val="0"/>
                <w:sz w:val="26"/>
                <w:szCs w:val="26"/>
                <w:rtl/>
              </w:rPr>
            </w:pPr>
            <w:r>
              <w:rPr>
                <w:rFonts w:ascii="Arial" w:hAnsi="Arial"/>
                <w:b/>
                <w:bCs/>
                <w:noProof w:val="0"/>
                <w:sz w:val="26"/>
                <w:szCs w:val="26"/>
                <w:rtl/>
              </w:rPr>
              <w:t xml:space="preserve">3. </w:t>
            </w:r>
            <w:proofErr w:type="spellStart"/>
            <w:r>
              <w:rPr>
                <w:rFonts w:ascii="Arial" w:hAnsi="Arial"/>
                <w:b/>
                <w:bCs/>
                <w:noProof w:val="0"/>
                <w:sz w:val="26"/>
                <w:szCs w:val="26"/>
                <w:rtl/>
              </w:rPr>
              <w:t>ר</w:t>
            </w:r>
            <w:r w:rsidR="00EB4A4C">
              <w:rPr>
                <w:rFonts w:ascii="Arial" w:hAnsi="Arial" w:hint="cs"/>
                <w:b/>
                <w:bCs/>
                <w:noProof w:val="0"/>
                <w:sz w:val="26"/>
                <w:szCs w:val="26"/>
                <w:rtl/>
              </w:rPr>
              <w:t>.</w:t>
            </w:r>
            <w:r>
              <w:rPr>
                <w:rFonts w:ascii="Arial" w:hAnsi="Arial"/>
                <w:b/>
                <w:bCs/>
                <w:noProof w:val="0"/>
                <w:sz w:val="26"/>
                <w:szCs w:val="26"/>
                <w:rtl/>
              </w:rPr>
              <w:t>ק</w:t>
            </w:r>
            <w:proofErr w:type="spellEnd"/>
            <w:r w:rsidR="00EB4A4C">
              <w:rPr>
                <w:rFonts w:ascii="Arial" w:hAnsi="Arial" w:hint="cs"/>
                <w:b/>
                <w:bCs/>
                <w:noProof w:val="0"/>
                <w:sz w:val="26"/>
                <w:szCs w:val="26"/>
                <w:rtl/>
              </w:rPr>
              <w:t>.</w:t>
            </w:r>
          </w:p>
          <w:p w:rsidR="006E205D" w:rsidRDefault="006E205D" w:rsidP="00EB4A4C">
            <w:pPr>
              <w:suppressLineNumbers/>
              <w:jc w:val="left"/>
              <w:rPr>
                <w:b/>
                <w:bCs/>
                <w:noProof w:val="0"/>
                <w:sz w:val="26"/>
                <w:szCs w:val="26"/>
                <w:rtl/>
              </w:rPr>
            </w:pPr>
            <w:r>
              <w:rPr>
                <w:b/>
                <w:bCs/>
                <w:noProof w:val="0"/>
                <w:sz w:val="26"/>
                <w:szCs w:val="26"/>
                <w:rtl/>
              </w:rPr>
              <w:t>4. נ</w:t>
            </w:r>
            <w:r w:rsidR="00EB4A4C">
              <w:rPr>
                <w:rFonts w:hint="cs"/>
                <w:b/>
                <w:bCs/>
                <w:noProof w:val="0"/>
                <w:sz w:val="26"/>
                <w:szCs w:val="26"/>
                <w:rtl/>
              </w:rPr>
              <w:t>.</w:t>
            </w:r>
            <w:r>
              <w:rPr>
                <w:b/>
                <w:bCs/>
                <w:noProof w:val="0"/>
                <w:sz w:val="26"/>
                <w:szCs w:val="26"/>
                <w:rtl/>
              </w:rPr>
              <w:t xml:space="preserve"> ש</w:t>
            </w:r>
            <w:r w:rsidR="00EB4A4C">
              <w:rPr>
                <w:rFonts w:hint="cs"/>
                <w:b/>
                <w:bCs/>
                <w:noProof w:val="0"/>
                <w:sz w:val="26"/>
                <w:szCs w:val="26"/>
                <w:rtl/>
              </w:rPr>
              <w:t>.</w:t>
            </w:r>
          </w:p>
          <w:p w:rsidR="006E205D" w:rsidRDefault="006E205D" w:rsidP="00EB4A4C">
            <w:pPr>
              <w:suppressLineNumbers/>
              <w:jc w:val="left"/>
              <w:rPr>
                <w:b/>
                <w:bCs/>
                <w:noProof w:val="0"/>
                <w:sz w:val="26"/>
                <w:szCs w:val="26"/>
                <w:rtl/>
              </w:rPr>
            </w:pPr>
            <w:r>
              <w:rPr>
                <w:b/>
                <w:bCs/>
                <w:noProof w:val="0"/>
                <w:sz w:val="26"/>
                <w:szCs w:val="26"/>
                <w:rtl/>
              </w:rPr>
              <w:t>5. א</w:t>
            </w:r>
            <w:r w:rsidR="00EB4A4C">
              <w:rPr>
                <w:rFonts w:hint="cs"/>
                <w:b/>
                <w:bCs/>
                <w:noProof w:val="0"/>
                <w:sz w:val="26"/>
                <w:szCs w:val="26"/>
                <w:rtl/>
              </w:rPr>
              <w:t>.</w:t>
            </w:r>
            <w:r>
              <w:rPr>
                <w:b/>
                <w:bCs/>
                <w:noProof w:val="0"/>
                <w:sz w:val="26"/>
                <w:szCs w:val="26"/>
                <w:rtl/>
              </w:rPr>
              <w:t xml:space="preserve"> ש</w:t>
            </w:r>
            <w:r w:rsidR="00EB4A4C">
              <w:rPr>
                <w:rFonts w:hint="cs"/>
                <w:b/>
                <w:bCs/>
                <w:noProof w:val="0"/>
                <w:sz w:val="26"/>
                <w:szCs w:val="26"/>
                <w:rtl/>
              </w:rPr>
              <w:t>.</w:t>
            </w:r>
          </w:p>
          <w:p w:rsidR="006E205D" w:rsidRDefault="006E205D" w:rsidP="00EB4A4C">
            <w:pPr>
              <w:suppressLineNumbers/>
              <w:jc w:val="left"/>
              <w:rPr>
                <w:b/>
                <w:bCs/>
                <w:noProof w:val="0"/>
                <w:sz w:val="26"/>
                <w:szCs w:val="26"/>
                <w:rtl/>
              </w:rPr>
            </w:pPr>
            <w:r>
              <w:rPr>
                <w:b/>
                <w:bCs/>
                <w:noProof w:val="0"/>
                <w:sz w:val="26"/>
                <w:szCs w:val="26"/>
                <w:rtl/>
              </w:rPr>
              <w:t>6.ק</w:t>
            </w:r>
            <w:r w:rsidR="00EB4A4C">
              <w:rPr>
                <w:rFonts w:hint="cs"/>
                <w:b/>
                <w:bCs/>
                <w:noProof w:val="0"/>
                <w:sz w:val="26"/>
                <w:szCs w:val="26"/>
                <w:rtl/>
              </w:rPr>
              <w:t>.</w:t>
            </w:r>
            <w:r>
              <w:rPr>
                <w:b/>
                <w:bCs/>
                <w:noProof w:val="0"/>
                <w:sz w:val="26"/>
                <w:szCs w:val="26"/>
                <w:rtl/>
              </w:rPr>
              <w:t xml:space="preserve"> ש</w:t>
            </w:r>
            <w:r w:rsidR="00EB4A4C">
              <w:rPr>
                <w:rFonts w:hint="cs"/>
                <w:b/>
                <w:bCs/>
                <w:noProof w:val="0"/>
                <w:sz w:val="26"/>
                <w:szCs w:val="26"/>
                <w:rtl/>
              </w:rPr>
              <w:t>.</w:t>
            </w:r>
          </w:p>
          <w:p w:rsidR="00EB4A4C" w:rsidRDefault="006E205D" w:rsidP="00EB4A4C">
            <w:pPr>
              <w:suppressLineNumbers/>
              <w:jc w:val="left"/>
              <w:rPr>
                <w:noProof w:val="0"/>
                <w:rtl/>
              </w:rPr>
            </w:pPr>
            <w:r>
              <w:rPr>
                <w:b/>
                <w:bCs/>
                <w:noProof w:val="0"/>
                <w:sz w:val="26"/>
                <w:szCs w:val="26"/>
                <w:rtl/>
              </w:rPr>
              <w:t>7. מ</w:t>
            </w:r>
            <w:r w:rsidR="00EB4A4C">
              <w:rPr>
                <w:rFonts w:hint="cs"/>
                <w:b/>
                <w:bCs/>
                <w:noProof w:val="0"/>
                <w:sz w:val="26"/>
                <w:szCs w:val="26"/>
                <w:rtl/>
              </w:rPr>
              <w:t>.</w:t>
            </w:r>
            <w:r>
              <w:rPr>
                <w:b/>
                <w:bCs/>
                <w:noProof w:val="0"/>
                <w:sz w:val="26"/>
                <w:szCs w:val="26"/>
                <w:rtl/>
              </w:rPr>
              <w:t xml:space="preserve"> ש</w:t>
            </w:r>
            <w:r w:rsidR="00EB4A4C">
              <w:rPr>
                <w:rFonts w:hint="cs"/>
                <w:b/>
                <w:bCs/>
                <w:noProof w:val="0"/>
                <w:sz w:val="26"/>
                <w:szCs w:val="26"/>
                <w:rtl/>
              </w:rPr>
              <w:t>.</w:t>
            </w:r>
          </w:p>
          <w:p w:rsidR="006E205D" w:rsidRDefault="006E205D" w:rsidP="00EB4A4C">
            <w:pPr>
              <w:suppressLineNumbers/>
              <w:jc w:val="left"/>
              <w:rPr>
                <w:noProof w:val="0"/>
                <w:rtl/>
              </w:rPr>
            </w:pPr>
            <w:r>
              <w:rPr>
                <w:noProof w:val="0"/>
                <w:rtl/>
              </w:rPr>
              <w:t>כולם מיוצגים ע"י עו"ד גיל מדואל</w:t>
            </w:r>
          </w:p>
        </w:tc>
      </w:tr>
      <w:tr w:rsidR="006E205D" w:rsidTr="006E205D">
        <w:trPr>
          <w:jc w:val="center"/>
        </w:trPr>
        <w:tc>
          <w:tcPr>
            <w:tcW w:w="8820" w:type="dxa"/>
            <w:gridSpan w:val="3"/>
          </w:tcPr>
          <w:p w:rsidR="006E205D" w:rsidRDefault="006E205D">
            <w:pPr>
              <w:suppressLineNumbers/>
              <w:rPr>
                <w:rFonts w:ascii="Arial" w:hAnsi="Arial"/>
                <w:b/>
                <w:bCs/>
                <w:noProof w:val="0"/>
                <w:sz w:val="26"/>
                <w:szCs w:val="26"/>
                <w:rtl/>
              </w:rPr>
            </w:pPr>
          </w:p>
        </w:tc>
      </w:tr>
    </w:tbl>
    <w:p w:rsidR="006E205D" w:rsidRDefault="006E205D" w:rsidP="006E205D">
      <w:pPr>
        <w:suppressLineNumbers/>
        <w:rPr>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E205D" w:rsidTr="006E205D">
        <w:trPr>
          <w:jc w:val="center"/>
        </w:trPr>
        <w:tc>
          <w:tcPr>
            <w:tcW w:w="8820" w:type="dxa"/>
          </w:tcPr>
          <w:p w:rsidR="006E205D" w:rsidRDefault="006E205D">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6E205D" w:rsidRDefault="006E205D">
            <w:pPr>
              <w:bidi w:val="0"/>
              <w:jc w:val="center"/>
              <w:rPr>
                <w:rFonts w:ascii="Arial" w:hAnsi="Arial"/>
                <w:b/>
                <w:bCs/>
                <w:noProof w:val="0"/>
                <w:sz w:val="26"/>
                <w:szCs w:val="26"/>
                <w:u w:val="single"/>
              </w:rPr>
            </w:pPr>
            <w:r>
              <w:rPr>
                <w:rFonts w:ascii="Arial" w:hAnsi="Arial"/>
                <w:b/>
                <w:bCs/>
                <w:noProof w:val="0"/>
                <w:sz w:val="26"/>
                <w:szCs w:val="26"/>
                <w:u w:val="single"/>
                <w:rtl/>
              </w:rPr>
              <w:t xml:space="preserve">בבקשה לפסילת שופט  </w:t>
            </w:r>
          </w:p>
          <w:p w:rsidR="006E205D" w:rsidRDefault="006E205D">
            <w:pPr>
              <w:bidi w:val="0"/>
              <w:jc w:val="center"/>
              <w:rPr>
                <w:rFonts w:ascii="Arial" w:hAnsi="Arial"/>
                <w:b/>
                <w:bCs/>
                <w:noProof w:val="0"/>
                <w:sz w:val="28"/>
                <w:szCs w:val="28"/>
                <w:u w:val="single"/>
                <w:rtl/>
              </w:rPr>
            </w:pPr>
          </w:p>
        </w:tc>
      </w:tr>
    </w:tbl>
    <w:p w:rsidR="006E205D" w:rsidRDefault="006E205D" w:rsidP="006E205D">
      <w:pPr>
        <w:spacing w:line="360" w:lineRule="auto"/>
        <w:ind w:left="720" w:hanging="720"/>
        <w:jc w:val="both"/>
        <w:rPr>
          <w:rFonts w:ascii="David" w:hAnsi="David"/>
          <w:noProof w:val="0"/>
        </w:rPr>
      </w:pPr>
      <w:bookmarkStart w:id="1" w:name="NGCSBookmark"/>
      <w:bookmarkEnd w:id="1"/>
      <w:r>
        <w:rPr>
          <w:rFonts w:ascii="David" w:hAnsi="David"/>
          <w:rtl/>
        </w:rPr>
        <w:t>1.</w:t>
      </w:r>
      <w:r>
        <w:rPr>
          <w:rFonts w:ascii="David" w:hAnsi="David"/>
          <w:rtl/>
        </w:rPr>
        <w:tab/>
        <w:t xml:space="preserve">לפני בקשה שנייה של התובעת והנתבעת שכנגד (להלן- </w:t>
      </w:r>
      <w:r>
        <w:rPr>
          <w:rFonts w:ascii="David" w:hAnsi="David"/>
          <w:b/>
          <w:bCs/>
          <w:rtl/>
        </w:rPr>
        <w:t>המבקשת</w:t>
      </w:r>
      <w:r>
        <w:rPr>
          <w:rFonts w:ascii="David" w:hAnsi="David"/>
          <w:rtl/>
        </w:rPr>
        <w:t>) לפסול אותי מליישב בדין. המבקשת הייתה בת זוגו של  המנוח  מר י.ק. (להלן-</w:t>
      </w:r>
      <w:r>
        <w:rPr>
          <w:rFonts w:ascii="David" w:hAnsi="David"/>
          <w:b/>
          <w:bCs/>
          <w:rtl/>
        </w:rPr>
        <w:t>המנוח</w:t>
      </w:r>
      <w:r>
        <w:rPr>
          <w:rFonts w:ascii="David" w:hAnsi="David"/>
          <w:rtl/>
        </w:rPr>
        <w:t xml:space="preserve">) והנתבעים הם ילדיו של המנוח (להלן- </w:t>
      </w:r>
      <w:r>
        <w:rPr>
          <w:rFonts w:ascii="David" w:hAnsi="David"/>
          <w:b/>
          <w:bCs/>
          <w:rtl/>
        </w:rPr>
        <w:t>המשיבים</w:t>
      </w:r>
      <w:r>
        <w:rPr>
          <w:rFonts w:ascii="David" w:hAnsi="David"/>
          <w:rtl/>
        </w:rPr>
        <w:t xml:space="preserve">). </w:t>
      </w:r>
    </w:p>
    <w:p w:rsidR="006E205D" w:rsidRDefault="006E205D" w:rsidP="006E205D">
      <w:pPr>
        <w:ind w:left="720" w:hanging="720"/>
        <w:rPr>
          <w:noProof w:val="0"/>
          <w:rtl/>
        </w:rPr>
      </w:pPr>
    </w:p>
    <w:p w:rsidR="006E205D" w:rsidRDefault="006E205D" w:rsidP="006E205D">
      <w:pPr>
        <w:spacing w:line="360" w:lineRule="auto"/>
        <w:jc w:val="both"/>
        <w:rPr>
          <w:rFonts w:ascii="David" w:hAnsi="David"/>
          <w:b/>
          <w:bCs/>
        </w:rPr>
      </w:pPr>
      <w:r>
        <w:rPr>
          <w:rFonts w:ascii="David" w:hAnsi="David"/>
          <w:b/>
          <w:bCs/>
          <w:u w:val="single"/>
          <w:rtl/>
        </w:rPr>
        <w:t>הרקע העובדתי בקציר האומר</w:t>
      </w:r>
      <w:r>
        <w:rPr>
          <w:rFonts w:ascii="David" w:hAnsi="David"/>
          <w:b/>
          <w:bCs/>
          <w:rtl/>
        </w:rPr>
        <w:t>:</w:t>
      </w:r>
    </w:p>
    <w:p w:rsidR="006E205D" w:rsidRDefault="006E205D" w:rsidP="006E205D">
      <w:pPr>
        <w:spacing w:line="360" w:lineRule="auto"/>
        <w:jc w:val="both"/>
        <w:rPr>
          <w:rFonts w:ascii="David" w:hAnsi="David"/>
          <w:b/>
          <w:bCs/>
          <w:u w:val="single"/>
          <w:rtl/>
        </w:rPr>
      </w:pPr>
    </w:p>
    <w:p w:rsidR="006E205D" w:rsidRDefault="006E205D" w:rsidP="006E205D">
      <w:pPr>
        <w:spacing w:line="360" w:lineRule="auto"/>
        <w:ind w:left="720" w:hanging="720"/>
        <w:jc w:val="both"/>
        <w:rPr>
          <w:rFonts w:ascii="David" w:hAnsi="David"/>
          <w:rtl/>
        </w:rPr>
      </w:pPr>
      <w:r>
        <w:rPr>
          <w:rFonts w:ascii="David" w:hAnsi="David"/>
          <w:rtl/>
        </w:rPr>
        <w:t>2.</w:t>
      </w:r>
      <w:r>
        <w:rPr>
          <w:rFonts w:ascii="David" w:hAnsi="David"/>
          <w:rtl/>
        </w:rPr>
        <w:tab/>
        <w:t>על אתר יאמר שזו בקשתה השנייה של המבקשת לפסול אותי מדון בתיק.  בקשתה הראשונה נדחתה על ידי ביום 26/9/2019. על החלטתי זו הוגש ערעור לבית המשפט העליון. כבוד הנשיאה חיות בהחלטתה מיום 25/12/2019 דחתה את הערעור. בין היתר כתבה כבוד הנשיאה "</w:t>
      </w:r>
      <w:r>
        <w:rPr>
          <w:rFonts w:ascii="David" w:hAnsi="David"/>
          <w:b/>
          <w:bCs/>
          <w:rtl/>
        </w:rPr>
        <w:t xml:space="preserve">טענות המערערת מופנות בעיקרן כנגד החלטות דיוניות של המותב  - בעניין אי דחייה על הסף של הבקשה שהגישו המשיבים לסילוק התביעה על הסף; בעניין העדתה של המערערת; ובעניין גילוי המסמכים. החלטות מסוג זה אין בהן כדי להביא לפסילת המותב והדרך להשיג עליהן היא באמצעות מסלולי ההשגה הקבועים לכך בדין (ע"א 848/19 פלוני נ' פלונית, פסקה 3 (25.3.2019)). באשר לטענת המערערת כי המותב "נעול" בדעתו וכי הוא גמר אומר לסלק את התביעה שהגישה על יסוד עדותה של עו"ד אטיאס. אכן בית המשפט ציין בהחלטתו כי עו"ד אטיאס העידה באופן ברור שהמערערת ידעה על </w:t>
      </w:r>
      <w:r>
        <w:rPr>
          <w:rFonts w:ascii="David" w:hAnsi="David"/>
          <w:b/>
          <w:bCs/>
          <w:rtl/>
        </w:rPr>
        <w:lastRenderedPageBreak/>
        <w:t>הסכם הממון וטוב היה עושה לו נמנע מאמירות מעין אלה שאינן דרושות לשם הכרעה בטענות שהעלתה המערערת בעניין הפסלות.  עם זאת הוא הבהיר  כי דעתו אינה "נעולה", וכי הוא פתוח לשמוע את עדותה של המערערת על מנת שזו תבהיר את עמדתה בעניין הסכם  הממון. אף החלטתו של המותב שלא להורות על גילוי מסמכים מצד המשיבים אינה מובילה לדעתי למסקנה כי יש מקום להורות על פסילתו, זאת בהינתן הסבריו של המותב כי מסמכים אלו אינם נדרשים לשם בירור טענותיה של המערערת. הביקורת שמתח המותב בהחלטתו על התנהלותם הדיונית של המערערת ובא כוחה היא בהחלט לגיטימית ועניינית ואין בה כדי להביא לפסילתו (ע"פ 2701/18 כסטני נ' מדינת ישראל, פסקה 4 (16.4.2018)).</w:t>
      </w:r>
      <w:r>
        <w:rPr>
          <w:rFonts w:ascii="David" w:hAnsi="David"/>
          <w:rtl/>
        </w:rPr>
        <w:t xml:space="preserve">"   </w:t>
      </w:r>
    </w:p>
    <w:p w:rsidR="006E205D" w:rsidRDefault="006E205D" w:rsidP="006E205D">
      <w:pPr>
        <w:spacing w:line="360" w:lineRule="auto"/>
        <w:ind w:left="720" w:hanging="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 xml:space="preserve">זה המקום להדגיש שבין לבין בהחלטה מיום 26/6/2019 קבעתי דיון בו תשמע המבקשת, אשר מטבע הדברים נדחה עד להכרעה בערעור האמור. </w:t>
      </w:r>
    </w:p>
    <w:p w:rsidR="006E205D" w:rsidRDefault="006E205D" w:rsidP="006E205D">
      <w:pPr>
        <w:spacing w:line="360" w:lineRule="auto"/>
        <w:ind w:left="720"/>
        <w:jc w:val="both"/>
        <w:rPr>
          <w:rFonts w:ascii="David" w:hAnsi="David"/>
          <w:rtl/>
        </w:rPr>
      </w:pPr>
    </w:p>
    <w:p w:rsidR="006E205D" w:rsidRDefault="006E205D" w:rsidP="006E205D">
      <w:pPr>
        <w:spacing w:line="360" w:lineRule="auto"/>
        <w:jc w:val="both"/>
        <w:rPr>
          <w:rFonts w:ascii="David" w:hAnsi="David"/>
          <w:rtl/>
        </w:rPr>
      </w:pPr>
      <w:r>
        <w:rPr>
          <w:rFonts w:ascii="David" w:hAnsi="David"/>
          <w:rtl/>
        </w:rPr>
        <w:t>3.</w:t>
      </w:r>
      <w:r>
        <w:rPr>
          <w:rFonts w:ascii="David" w:hAnsi="David"/>
          <w:rtl/>
        </w:rPr>
        <w:tab/>
        <w:t>הדיון שב למסלולו.</w:t>
      </w:r>
    </w:p>
    <w:p w:rsidR="006E205D" w:rsidRDefault="006E205D" w:rsidP="006E205D">
      <w:pPr>
        <w:spacing w:line="360" w:lineRule="auto"/>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 xml:space="preserve">מששב הדיון למסלולו הוגשו על ידי המבקשת שתי בקשות האחת, בקשה "לגילוי מסמכים" והשנייה "בקשה לזימון עדה מטעם התובעת ורצון לחקור את בעלי הדין שכנגד". </w:t>
      </w:r>
    </w:p>
    <w:p w:rsidR="006E205D" w:rsidRDefault="006E205D" w:rsidP="006E205D">
      <w:pPr>
        <w:spacing w:line="360" w:lineRule="auto"/>
        <w:ind w:left="720"/>
        <w:jc w:val="both"/>
        <w:rPr>
          <w:rFonts w:ascii="David" w:hAnsi="David"/>
          <w:rtl/>
        </w:rPr>
      </w:pPr>
      <w:r>
        <w:rPr>
          <w:rFonts w:ascii="David" w:hAnsi="David"/>
          <w:rtl/>
        </w:rPr>
        <w:t xml:space="preserve">ביום 27/1/2020 ניתנו שתי החלטת בבקשות אלו ונוסחן יובא בהתאמה: לעניין הבקשה הראשונה גילוי המסמכים קבעתי </w:t>
      </w:r>
      <w:r>
        <w:rPr>
          <w:rFonts w:ascii="David" w:hAnsi="David"/>
          <w:b/>
          <w:bCs/>
          <w:rtl/>
        </w:rPr>
        <w:t>"לאחר שעיינתי בטענות הצדדים מצאתי כי בשלב זה בו מונחת לפניי השאלה האם התובעת ידעה אודות הסכם הממון אם לאו אין מקום להידרש למסמכים הצופים לכאורה פני ניהול התיק ואדרש להם ככל שיידרש בתום בירור סוגיית הסילוק על הסף</w:t>
      </w:r>
      <w:r>
        <w:rPr>
          <w:rFonts w:ascii="David" w:hAnsi="David"/>
          <w:rtl/>
        </w:rPr>
        <w:t xml:space="preserve">.  ... </w:t>
      </w:r>
      <w:r>
        <w:rPr>
          <w:rFonts w:ascii="David" w:hAnsi="David"/>
          <w:b/>
          <w:bCs/>
          <w:rtl/>
        </w:rPr>
        <w:t>נקבע לדיון לחקירת התובעת ליום</w:t>
      </w:r>
      <w:r>
        <w:rPr>
          <w:rFonts w:ascii="David" w:hAnsi="David"/>
          <w:rtl/>
        </w:rPr>
        <w:t xml:space="preserve"> ..."  </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לעניין הבקשה השנייה לזימון עדים וחקירת בעלי הדין קבעתי: "</w:t>
      </w:r>
      <w:r>
        <w:rPr>
          <w:rFonts w:ascii="David" w:hAnsi="David"/>
          <w:b/>
          <w:bCs/>
          <w:rtl/>
        </w:rPr>
        <w:t>1. לאחר שעיינתי בבקשה ובהעדר התנגדות מטעם המשיבים כאמור בתגובה מיום 16/1/20 אני מורה לע"ד אטיאס להמציא לתובעת</w:t>
      </w:r>
      <w:r>
        <w:rPr>
          <w:rFonts w:ascii="David" w:hAnsi="David"/>
          <w:rtl/>
        </w:rPr>
        <w:t xml:space="preserve"> ה</w:t>
      </w:r>
      <w:r>
        <w:rPr>
          <w:rFonts w:ascii="David" w:hAnsi="David"/>
          <w:b/>
          <w:bCs/>
          <w:rtl/>
        </w:rPr>
        <w:t>מסמכים הקשורים בעסקת המכר של דירת התובעת ב</w:t>
      </w:r>
      <w:r>
        <w:rPr>
          <w:rFonts w:ascii="David" w:hAnsi="David"/>
          <w:rtl/>
        </w:rPr>
        <w:t>...</w:t>
      </w:r>
      <w:r>
        <w:rPr>
          <w:rFonts w:ascii="David" w:hAnsi="David"/>
          <w:b/>
          <w:bCs/>
          <w:rtl/>
        </w:rPr>
        <w:t>המסמכים יועברו לתובעת תוך 7 ימים ויוגשו לתיק עד ליום 5/2/20. 2. אין מקום לזימונה של עו"ד אטיאס לעדות נוספת שעה שהשאלה שלפני במסגרת הבקשה לסילוק על הסף היא לא אם ייצגה בעסקת המכר אם לאו וממילא לא נטען לפניי כי מועד החתימה על הסכם הממון ותצהיר ידועים בציבור נחתמו במועד  בו נחתם הסכם המכר. יוער כי ככל שיעלה מהמסמכים שיוצגו על ידי עורכת דין אטיאס שיש מקום לחקירה נוספת תינתן החלטה. 3. עדותם של בעלי הדין שכנגד אינה נדרשת לבירור השאלה האם התובעת ידעה על הסכם הממון אם לאו ועל כן הבקשה נדחית</w:t>
      </w:r>
      <w:r>
        <w:rPr>
          <w:rFonts w:ascii="David" w:hAnsi="David"/>
          <w:rtl/>
        </w:rPr>
        <w:t xml:space="preserve">". </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 xml:space="preserve">על שתי החלטותיי אלו הגישה המבקשת בקשות רשות ערעור </w:t>
      </w:r>
      <w:r>
        <w:rPr>
          <w:rFonts w:ascii="David" w:hAnsi="David"/>
          <w:u w:val="single"/>
          <w:rtl/>
        </w:rPr>
        <w:t>בר"ע 18599-02-20</w:t>
      </w:r>
      <w:r>
        <w:rPr>
          <w:rFonts w:ascii="David" w:hAnsi="David"/>
          <w:rtl/>
        </w:rPr>
        <w:t xml:space="preserve"> ו-</w:t>
      </w:r>
      <w:r>
        <w:rPr>
          <w:rFonts w:ascii="David" w:hAnsi="David"/>
          <w:u w:val="single"/>
          <w:rtl/>
        </w:rPr>
        <w:t>בר"ע</w:t>
      </w:r>
      <w:r>
        <w:rPr>
          <w:rFonts w:ascii="David" w:hAnsi="David"/>
          <w:rtl/>
        </w:rPr>
        <w:t xml:space="preserve">  </w:t>
      </w:r>
      <w:r>
        <w:rPr>
          <w:rFonts w:ascii="David" w:hAnsi="David"/>
          <w:u w:val="single"/>
          <w:rtl/>
        </w:rPr>
        <w:t>13010-02-20</w:t>
      </w:r>
      <w:r>
        <w:rPr>
          <w:rFonts w:ascii="David" w:hAnsi="David"/>
          <w:rtl/>
        </w:rPr>
        <w:t>).</w:t>
      </w:r>
    </w:p>
    <w:p w:rsidR="006E205D" w:rsidRDefault="006E205D" w:rsidP="006E205D">
      <w:pPr>
        <w:spacing w:line="360" w:lineRule="auto"/>
        <w:ind w:left="510"/>
        <w:jc w:val="both"/>
        <w:rPr>
          <w:rFonts w:ascii="David" w:hAnsi="David"/>
          <w:rtl/>
        </w:rPr>
      </w:pPr>
    </w:p>
    <w:p w:rsidR="006E205D" w:rsidRDefault="006E205D" w:rsidP="006E205D">
      <w:pPr>
        <w:spacing w:line="360" w:lineRule="auto"/>
        <w:ind w:left="720" w:hanging="12"/>
        <w:jc w:val="both"/>
        <w:rPr>
          <w:rFonts w:ascii="David" w:hAnsi="David"/>
          <w:rtl/>
        </w:rPr>
      </w:pPr>
      <w:r>
        <w:rPr>
          <w:rFonts w:ascii="David" w:hAnsi="David"/>
          <w:rtl/>
        </w:rPr>
        <w:lastRenderedPageBreak/>
        <w:t xml:space="preserve">בחלטה מיום 21/4/2020 דחתה כבוד השופטת גאולה לוין את שתי הבקשות. יצוין שבמסגרת קביעותיה קבעה כבוד השופטת לוין ש " </w:t>
      </w:r>
      <w:r>
        <w:rPr>
          <w:rFonts w:ascii="David" w:hAnsi="David"/>
          <w:b/>
          <w:bCs/>
          <w:rtl/>
        </w:rPr>
        <w:t>נוכח חשיבותו הרבה של הסכם הממון, היה מצופה מהמבקשת להביא בפני בית המשפט מלכתחילה את העובדה כי קיים הסכם ממון, בצירוף גרסתה והסבריה לכך שהוא חסר תוקף. דרך התנהלותה התמוהה של המבקשת, שחשפה לראשונה דבר קיומו של ההסכם רק בכתב ההגנה לתביעה שכנגד, הביאה לכך שההליך מתנהל בדרך לא שגרתית, בה הבירור העובדתי בקשר להסכם הממון נערך בשני שלבים, תחילה נשמעה עדותה של עו"ד אטיאס וכעת עומדת להישמע עדותה של המבקשת. הדבר נבע בראש וראשונה מהתנהלותה של המבקשת עצמה, שהכבידה על פרישת מלוא התשתית העובדתית בפני בית המשפט, ומכל מקום אין בו כדי לקפח את המבקשת מבחינה דיונית</w:t>
      </w:r>
      <w:r>
        <w:rPr>
          <w:rFonts w:ascii="David" w:hAnsi="David"/>
          <w:rtl/>
        </w:rPr>
        <w:t xml:space="preserve">." (סעיף 14 להחלטה) </w:t>
      </w:r>
    </w:p>
    <w:p w:rsidR="006E205D" w:rsidRDefault="006E205D" w:rsidP="006E205D">
      <w:pPr>
        <w:spacing w:line="360" w:lineRule="auto"/>
        <w:ind w:left="720" w:hanging="12"/>
        <w:jc w:val="both"/>
        <w:rPr>
          <w:rFonts w:ascii="David" w:hAnsi="David"/>
          <w:rtl/>
        </w:rPr>
      </w:pPr>
    </w:p>
    <w:p w:rsidR="006E205D" w:rsidRDefault="006E205D" w:rsidP="006E205D">
      <w:pPr>
        <w:spacing w:line="360" w:lineRule="auto"/>
        <w:jc w:val="both"/>
        <w:rPr>
          <w:rFonts w:ascii="David" w:hAnsi="David"/>
          <w:rtl/>
        </w:rPr>
      </w:pPr>
      <w:r>
        <w:rPr>
          <w:rFonts w:ascii="David" w:hAnsi="David"/>
          <w:rtl/>
        </w:rPr>
        <w:t>4.</w:t>
      </w:r>
      <w:r>
        <w:rPr>
          <w:rFonts w:ascii="David" w:hAnsi="David"/>
          <w:rtl/>
        </w:rPr>
        <w:tab/>
        <w:t xml:space="preserve">הדיון שב למסלולו. </w:t>
      </w:r>
    </w:p>
    <w:p w:rsidR="006E205D" w:rsidRDefault="006E205D" w:rsidP="006E205D">
      <w:pPr>
        <w:spacing w:line="360" w:lineRule="auto"/>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 xml:space="preserve">התיק נקבע ליום 21/6/2020 לחקירת התובעת. במהלך הדיון טענה המבקשת שאינה חשה בטוב, הדיון נפסק ונקבע להשלמת חקירה ליום 21/7/20. </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בתום חקירתה הוגשו עוד מספר לא מבוטל של בקשות ומבלי להרחיב יתר על המידה ביום 30/12/2020 הוריתי על זימונה של עו"ד אטיאס להשלמת חקירתה והדיון נקבע ליום 11/2/2021.</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לבקשת עו"ד אטיאס הדיון הקבוע נדחה ונקבע ליום 7/6/2021 מועד בו נחקרה עו"ד אטיאס.</w:t>
      </w:r>
    </w:p>
    <w:p w:rsidR="006E205D" w:rsidRDefault="006E205D" w:rsidP="006E205D">
      <w:pPr>
        <w:spacing w:line="360" w:lineRule="auto"/>
        <w:ind w:left="720"/>
        <w:jc w:val="both"/>
        <w:rPr>
          <w:rFonts w:ascii="David" w:hAnsi="David"/>
          <w:rtl/>
        </w:rPr>
      </w:pPr>
      <w:r>
        <w:rPr>
          <w:rFonts w:ascii="David" w:hAnsi="David"/>
          <w:rtl/>
        </w:rPr>
        <w:t xml:space="preserve">בתום הדיון הוריתי על הגשת סיכומים בשאלת הבקשה של המשיבים לדחיית התביעה על הסף. הסיכומים הוגשו בחודש 07/21. ביום 8/8/2022 ניתנה ההחלטה אשר דחתה את התביעה. </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 xml:space="preserve">על ההחלטה הוגש ערעור של המבקשת </w:t>
      </w:r>
      <w:r>
        <w:rPr>
          <w:rFonts w:ascii="David" w:hAnsi="David"/>
          <w:u w:val="single"/>
          <w:rtl/>
        </w:rPr>
        <w:t>עמ"ש 3261-11-22</w:t>
      </w:r>
      <w:r>
        <w:rPr>
          <w:rFonts w:ascii="David" w:hAnsi="David"/>
          <w:rtl/>
        </w:rPr>
        <w:t xml:space="preserve">. פסק הדין ניתן  ביום 15/1/2023 על ידי כבוד סגן הנשיאה השופט אריאל ואגו ובהסכמת כבוד השופטים יעקב פרסקי וגד גדעון. בפסק דינם קבעו שופטי בית המשפט המחוזי, כאמור, בזו הלשון:   </w:t>
      </w:r>
    </w:p>
    <w:p w:rsidR="006E205D" w:rsidRDefault="006E205D" w:rsidP="006E205D">
      <w:pPr>
        <w:spacing w:line="360" w:lineRule="auto"/>
        <w:jc w:val="both"/>
        <w:rPr>
          <w:rFonts w:ascii="David" w:hAnsi="David"/>
          <w:rtl/>
        </w:rPr>
      </w:pPr>
    </w:p>
    <w:p w:rsidR="006E205D" w:rsidRDefault="006E205D" w:rsidP="006E205D">
      <w:pPr>
        <w:spacing w:line="360" w:lineRule="auto"/>
        <w:ind w:left="720"/>
        <w:jc w:val="both"/>
        <w:rPr>
          <w:rFonts w:ascii="David" w:hAnsi="David"/>
          <w:b/>
          <w:bCs/>
          <w:rtl/>
        </w:rPr>
      </w:pPr>
      <w:r>
        <w:rPr>
          <w:rFonts w:ascii="David" w:hAnsi="David"/>
          <w:rtl/>
        </w:rPr>
        <w:t>"</w:t>
      </w:r>
      <w:r>
        <w:rPr>
          <w:rFonts w:ascii="David" w:hAnsi="David"/>
          <w:b/>
          <w:bCs/>
          <w:rtl/>
        </w:rPr>
        <w:t xml:space="preserve">קבלתה של הטענה הדיונית תחייב ביטולו של פסק הדין הקיים, והשבת התיק לבית המשפט הדיוני, עם הוראות להמשיך ניהול המשפט עד תום, כאשר, דינה של ההכרעה בדבר הסכם הממון ונפקותו ביחס לתביעה הרכושית הכוללת, וביחס לנפקותו של ההסכם  על עילת התובענה, להיעשות במסגרת פסק דין סופי וכולל. במקרה זה - אין מקום, ובוודאי שאין הכרח, לטעת מסמרות בקביעות הליבה העובדתיות ובמסקנות שנגזרו מהן. דחייתה של הטענה הדיונית, אם כל נחליט, תצריך, כמובן, הזקקות לטענות הערעוריות "הרגילות", שמועלות בפירוט ובהרחבה בהודעת הערעור ובדברי עו"ד ליזרוביץ בפנינו. </w:t>
      </w:r>
    </w:p>
    <w:p w:rsidR="006E205D" w:rsidRDefault="006E205D" w:rsidP="006E205D">
      <w:pPr>
        <w:spacing w:line="360" w:lineRule="auto"/>
        <w:ind w:left="720"/>
        <w:jc w:val="both"/>
        <w:rPr>
          <w:rFonts w:ascii="David" w:hAnsi="David"/>
          <w:b/>
          <w:bCs/>
          <w:rtl/>
        </w:rPr>
      </w:pPr>
    </w:p>
    <w:p w:rsidR="006E205D" w:rsidRDefault="006E205D" w:rsidP="006E205D">
      <w:pPr>
        <w:spacing w:line="360" w:lineRule="auto"/>
        <w:ind w:left="720"/>
        <w:jc w:val="both"/>
        <w:rPr>
          <w:rFonts w:ascii="David" w:hAnsi="David"/>
          <w:b/>
          <w:bCs/>
          <w:rtl/>
        </w:rPr>
      </w:pPr>
      <w:r>
        <w:rPr>
          <w:rFonts w:ascii="David" w:hAnsi="David"/>
          <w:b/>
          <w:bCs/>
          <w:rtl/>
        </w:rPr>
        <w:lastRenderedPageBreak/>
        <w:t xml:space="preserve">ההתלבטות באותו "צומת", שבין ההיבט הפרוצדוראלי, של ניהול המשפט בערכאה המבררת, לבין הפן המהותי, של ההכרעה בשאלת הסכם הממון ונפקותו, אינה פשוטה. על גבי הפלטפורמה של בקשת הסף, התנהל, בפועל, הליך של הוכחות, שבסופו - ניתנה החלטה מנומקת וברורה באותן סוגיות, אשר בית המשפט, בצדק, סבר, כי ההכרעה בהן יכולה לחרוץ גורלו של ההליך. </w:t>
      </w:r>
    </w:p>
    <w:p w:rsidR="006E205D" w:rsidRDefault="006E205D" w:rsidP="006E205D">
      <w:pPr>
        <w:spacing w:line="360" w:lineRule="auto"/>
        <w:ind w:left="720"/>
        <w:jc w:val="both"/>
        <w:rPr>
          <w:rFonts w:ascii="David" w:hAnsi="David"/>
          <w:b/>
          <w:bCs/>
          <w:rtl/>
        </w:rPr>
      </w:pPr>
    </w:p>
    <w:p w:rsidR="006E205D" w:rsidRDefault="006E205D" w:rsidP="006E205D">
      <w:pPr>
        <w:spacing w:line="360" w:lineRule="auto"/>
        <w:ind w:left="720"/>
        <w:jc w:val="both"/>
        <w:rPr>
          <w:rFonts w:ascii="David" w:hAnsi="David"/>
          <w:b/>
          <w:bCs/>
        </w:rPr>
      </w:pPr>
      <w:r>
        <w:rPr>
          <w:rFonts w:ascii="David" w:hAnsi="David"/>
          <w:b/>
          <w:bCs/>
          <w:rtl/>
        </w:rPr>
        <w:t xml:space="preserve">אין לנו ספק, שקביעה פוזיטיבית, בדבר גמירות דעתם של המנוח ושל המערערת, לחתום על הסכם ממון, המעגן הפרדה רכושית ברורה וחדה, בין שניהם, תוך אזכור מפורש של דירת המנוח, יכולה הייתה לאיין את עילת התביעה ולייתר את המשך ההתדיינות. משטר מוסכם ומודע של הפרדה רכושית אינו יכול לאפשר הענקת סעד שעילתו שיתוף רכושי מכוח חיים משותפים וזוגיות של ידועים בציבור. </w:t>
      </w:r>
    </w:p>
    <w:p w:rsidR="006E205D" w:rsidRDefault="006E205D" w:rsidP="006E205D">
      <w:pPr>
        <w:spacing w:line="360" w:lineRule="auto"/>
        <w:ind w:left="720"/>
        <w:jc w:val="both"/>
        <w:rPr>
          <w:rFonts w:ascii="David" w:hAnsi="David"/>
          <w:b/>
          <w:bCs/>
          <w:rtl/>
        </w:rPr>
      </w:pPr>
    </w:p>
    <w:p w:rsidR="006E205D" w:rsidRDefault="006E205D" w:rsidP="006E205D">
      <w:pPr>
        <w:spacing w:line="360" w:lineRule="auto"/>
        <w:ind w:left="720"/>
        <w:jc w:val="both"/>
        <w:rPr>
          <w:rFonts w:ascii="David" w:hAnsi="David"/>
          <w:b/>
          <w:bCs/>
          <w:rtl/>
        </w:rPr>
      </w:pPr>
      <w:r>
        <w:rPr>
          <w:rFonts w:ascii="David" w:hAnsi="David"/>
          <w:b/>
          <w:bCs/>
          <w:rtl/>
        </w:rPr>
        <w:t xml:space="preserve">זאת ועוד - ואף מבלי לטעת מסמרות - קביעותיו ומסקנותיו של בית המשפט, בפני עצמן, במלוא הזהירות, אינן נראות מופרכות ושגויות באופן שההתערבות הערעורית בתוצאה מתחייבת מכך, ובלתי נמנעת, שאז, העיסוק בפן הדיוני הופך למיותר ואקדמי. ניתן לומר, שפסק הדין, מהיבט תכניו ונימוקיו - אפשרי ואינו מוטעה על פניו. </w:t>
      </w:r>
    </w:p>
    <w:p w:rsidR="006E205D" w:rsidRDefault="006E205D" w:rsidP="006E205D">
      <w:pPr>
        <w:spacing w:line="360" w:lineRule="auto"/>
        <w:ind w:left="720"/>
        <w:jc w:val="both"/>
        <w:rPr>
          <w:rFonts w:ascii="David" w:hAnsi="David"/>
          <w:b/>
          <w:bCs/>
          <w:rtl/>
        </w:rPr>
      </w:pPr>
    </w:p>
    <w:p w:rsidR="006E205D" w:rsidRDefault="006E205D" w:rsidP="006E205D">
      <w:pPr>
        <w:spacing w:line="360" w:lineRule="auto"/>
        <w:ind w:left="720"/>
        <w:jc w:val="both"/>
        <w:rPr>
          <w:rFonts w:ascii="David" w:hAnsi="David"/>
          <w:b/>
          <w:bCs/>
          <w:rtl/>
        </w:rPr>
      </w:pPr>
      <w:r>
        <w:rPr>
          <w:rFonts w:ascii="David" w:hAnsi="David"/>
          <w:b/>
          <w:bCs/>
          <w:rtl/>
        </w:rPr>
        <w:t xml:space="preserve">הוסף לכך - שאין ידיעה ברורה אודות טיבן של הראיות ואופיין של העדויות, אשר לשיטת המערערת, יכול והצגתן, לו נוהל משפט הוכחות מלא וסדור, הייתה משנה את התוצאה. ב"כ המערערת גורס כי ייתכן שגם ראיות שהן בפריפריה של עצם נסיבות החתימה הלכאורית על ההסכם, יוכלו לסייע בידו, וככל שמדובר בליבת ההתרחשות ההסכמית, הוא טוען, לדוגמא, שהיה שוקל להזמין לעדות את המזכירה דאז במשרד עוה"ד אטיאס, שיכלה לשפוך אור סביב מעמד החתימה ומה שקדם לכך. לטענת עו"ד ליזרוביץ, גם מיצוי הליכים מקדמיים, כמעוגן בתקנות סדר הדין האזרחי, היה יכול להציף עובדות או מסמכים שאינם כיום, ולא היו, בהישג ידו. </w:t>
      </w:r>
    </w:p>
    <w:p w:rsidR="006E205D" w:rsidRDefault="006E205D" w:rsidP="006E205D">
      <w:pPr>
        <w:spacing w:line="360" w:lineRule="auto"/>
        <w:ind w:left="720"/>
        <w:jc w:val="both"/>
        <w:rPr>
          <w:rFonts w:ascii="David" w:hAnsi="David"/>
          <w:b/>
          <w:bCs/>
          <w:rtl/>
        </w:rPr>
      </w:pPr>
      <w:r>
        <w:rPr>
          <w:rFonts w:ascii="David" w:hAnsi="David"/>
          <w:b/>
          <w:bCs/>
          <w:rtl/>
        </w:rPr>
        <w:t xml:space="preserve">גם לשיטת ב"כ המערערת, אין לו ידיעה ברורה אודות "ראיית זהב", או עד חיוני, אשר נבצר ממנו להציג בערכאה דלמטה, בעטיו של ניהול המשפט במתכונת של מעין "שעטנז" בין ליבון בקשת סילוק על הסף, לבין ניהול הליך הוכחות במחלוקות המהות. </w:t>
      </w:r>
    </w:p>
    <w:p w:rsidR="006E205D" w:rsidRDefault="006E205D" w:rsidP="006E205D">
      <w:pPr>
        <w:spacing w:line="360" w:lineRule="auto"/>
        <w:ind w:left="720"/>
        <w:jc w:val="both"/>
        <w:rPr>
          <w:rFonts w:ascii="David" w:hAnsi="David"/>
          <w:b/>
          <w:bCs/>
          <w:rtl/>
        </w:rPr>
      </w:pPr>
    </w:p>
    <w:p w:rsidR="006E205D" w:rsidRDefault="006E205D" w:rsidP="006E205D">
      <w:pPr>
        <w:spacing w:line="360" w:lineRule="auto"/>
        <w:ind w:left="720"/>
        <w:jc w:val="both"/>
        <w:rPr>
          <w:rFonts w:ascii="David" w:hAnsi="David"/>
          <w:b/>
          <w:bCs/>
          <w:rtl/>
        </w:rPr>
      </w:pPr>
      <w:r>
        <w:rPr>
          <w:rFonts w:ascii="David" w:hAnsi="David"/>
          <w:b/>
          <w:bCs/>
          <w:rtl/>
        </w:rPr>
        <w:t xml:space="preserve">ייתכן, לפיכך, שקבלת הטענה הדיונית, והחזרת הדיון לסבב נוסף והמשכי, עלולה להיות, מבחינת המערערת, רק משום "דחיית הקץ", וחזרה לתוצאה זהה, בסופו של יום. אולם, מנגד, ובהשאלה מהתחום הפלילי, כאשר ההגנה מבקשת לתור אחר חומרים שלא הובאו בפניה, נאמר, לא אחת, כי "אין חקר לתבונת הסניגור", וקורה, שהסניגור המוכשר מוצא ראיה מזכה, או מטילת ספק לפחות, במישור שלכאורה נמצא בפריפריית התיק ולאו דווקא בתחום המואר והמרכזי של ההליך. לא ניתן לשלול, קטגורית, ההתכנות לכך, שלו מוצה המשפט בנתיב הדיוני הרגיל והמלא, יכול היה ב"כ המערערת לשכנע את בית המשפט בנקודה כזו או אחרת, בצדקת טענותיה, ובאופן שהיה מביא לתוצאה שונה.   </w:t>
      </w:r>
    </w:p>
    <w:p w:rsidR="006E205D" w:rsidRDefault="006E205D" w:rsidP="006E205D">
      <w:pPr>
        <w:spacing w:line="360" w:lineRule="auto"/>
        <w:ind w:left="720"/>
        <w:jc w:val="both"/>
        <w:rPr>
          <w:rFonts w:ascii="David" w:hAnsi="David"/>
          <w:b/>
          <w:bCs/>
          <w:rtl/>
        </w:rPr>
      </w:pPr>
    </w:p>
    <w:p w:rsidR="006E205D" w:rsidRDefault="006E205D" w:rsidP="006E205D">
      <w:pPr>
        <w:spacing w:line="360" w:lineRule="auto"/>
        <w:ind w:left="720"/>
        <w:jc w:val="both"/>
        <w:rPr>
          <w:rFonts w:ascii="David" w:hAnsi="David"/>
          <w:b/>
          <w:bCs/>
          <w:rtl/>
        </w:rPr>
      </w:pPr>
      <w:r>
        <w:rPr>
          <w:rFonts w:ascii="David" w:hAnsi="David"/>
          <w:b/>
          <w:bCs/>
          <w:rtl/>
        </w:rPr>
        <w:lastRenderedPageBreak/>
        <w:t xml:space="preserve">בית המשפט קמא ניסה להגיע להכרעה מהירה ויעילה במשפט שלפניו, תוך מיקוד הזרקור על "הנקודה הארכימדית", שלטעמו, והדבר אינו מופרך, יכלה לחרוץ את גורל התיק - סוגיית הסכם הממון. אולם, אף כי לא בלי התלבטות, דעתי היא, שמוטב היה להחליט בסוגיה זו, לאחר שמיעת הראיות כולן, בדרך המלך, גם אם ליבת פסק הדין, בסופו של יום, הייתה מתמקדת בנקודה זו, שללא ספק חשובה, ואולי אף קריטית. </w:t>
      </w:r>
    </w:p>
    <w:p w:rsidR="006E205D" w:rsidRDefault="006E205D" w:rsidP="006E205D">
      <w:pPr>
        <w:spacing w:line="360" w:lineRule="auto"/>
        <w:ind w:left="720"/>
        <w:jc w:val="both"/>
        <w:rPr>
          <w:rFonts w:ascii="David" w:hAnsi="David"/>
          <w:b/>
          <w:bCs/>
          <w:rtl/>
        </w:rPr>
      </w:pPr>
    </w:p>
    <w:p w:rsidR="006E205D" w:rsidRDefault="006E205D" w:rsidP="006E205D">
      <w:pPr>
        <w:spacing w:line="360" w:lineRule="auto"/>
        <w:ind w:left="720"/>
        <w:jc w:val="both"/>
        <w:rPr>
          <w:rFonts w:ascii="David" w:hAnsi="David"/>
          <w:b/>
          <w:bCs/>
          <w:rtl/>
        </w:rPr>
      </w:pPr>
      <w:r>
        <w:rPr>
          <w:rFonts w:ascii="David" w:hAnsi="David"/>
          <w:b/>
          <w:bCs/>
          <w:rtl/>
        </w:rPr>
        <w:t xml:space="preserve">משום כך, מסקנתי היא, שיש לאפשר למערערת, כפי שביקשה, למצות את ההתדיינות בערכאה המבררת בנתיב הדיוני הרגיל, חלף ההכרעה, שסתמה הגולל על תביעתה, כבר במסגרת הדיון בבקשת סילוק על הסף. יש לזכור, שממילא - מוסיפה להתברר התביעה שכנגד, וההתדיינות בין הצדדים לא הסתיימה. </w:t>
      </w:r>
    </w:p>
    <w:p w:rsidR="006E205D" w:rsidRDefault="006E205D" w:rsidP="006E205D">
      <w:pPr>
        <w:spacing w:line="360" w:lineRule="auto"/>
        <w:ind w:left="720"/>
        <w:jc w:val="both"/>
        <w:rPr>
          <w:rFonts w:ascii="David" w:hAnsi="David"/>
          <w:b/>
          <w:bCs/>
          <w:rtl/>
        </w:rPr>
      </w:pPr>
    </w:p>
    <w:p w:rsidR="006E205D" w:rsidRDefault="006E205D" w:rsidP="006E205D">
      <w:pPr>
        <w:spacing w:line="360" w:lineRule="auto"/>
        <w:ind w:left="720"/>
        <w:jc w:val="both"/>
        <w:rPr>
          <w:rFonts w:ascii="David" w:hAnsi="David"/>
          <w:rtl/>
        </w:rPr>
      </w:pPr>
      <w:r>
        <w:rPr>
          <w:rFonts w:ascii="David" w:hAnsi="David"/>
          <w:b/>
          <w:bCs/>
          <w:rtl/>
        </w:rPr>
        <w:t>אין בכך לומר, שיש לנהל את ההליך מתחילתו כאילו לא אירע דבר, ותוך איון קיומם ונפקותם של ראיות ועדויות הקיימות. אציע, אמנם לבטל את פסק הדין (בתביעה העיקרית, להבדיל מהתביעה שכנגד), כפי שניתן, ובלי להביע כל עמדה בצדקת תכניו לגופם, ולהחזיר הדיון להמשך בפני בית המשפט לענייני משפחה, תוך הכוונת בית המשפט למתן הוראות וקביעת סדרי דין ודיון, כפי חכמתו והנחיותיו. זאת - בלי להגביל הדבר ובלי ליתן הוראות ספציפיות במישור זה. בית המשפט, אם תאומץ עמדתי, יתבקש ליתן פסק דין חדש, בתביעת המערערת, כתום ניהול ההליך, בין שתוצאתו תהיה דומה או זהה לזו הקיימת כעת, ובין שימצא בית המשפט שיש להכריע אחרת.</w:t>
      </w:r>
      <w:r>
        <w:rPr>
          <w:rFonts w:ascii="David" w:hAnsi="David"/>
          <w:rtl/>
        </w:rPr>
        <w:t xml:space="preserve"> "</w:t>
      </w:r>
    </w:p>
    <w:p w:rsidR="006E205D" w:rsidRDefault="006E205D" w:rsidP="006E205D">
      <w:pPr>
        <w:spacing w:line="360" w:lineRule="auto"/>
        <w:ind w:left="720"/>
        <w:jc w:val="both"/>
        <w:rPr>
          <w:rFonts w:ascii="David" w:hAnsi="David"/>
          <w:rtl/>
        </w:rPr>
      </w:pPr>
      <w:r>
        <w:rPr>
          <w:rFonts w:ascii="David" w:hAnsi="David"/>
          <w:rtl/>
        </w:rPr>
        <w:t>מצאתי להביא דברי ההרכב המכובד כלשונם שכן במסגרת בקשת הפסלות העלה בא כוחה של המבקשת טענות גם ביחס לטעות משפטית של  מותב זה  הגם שאין בכך קשר לטענת הפסלות ולא כלום מה שאמור היה להיות בידיעת המבקשת לפחות ממועד מתן ההחלטה של כבוד הנשיאה בבקשתה הראשונה לפסילתי.</w:t>
      </w:r>
    </w:p>
    <w:p w:rsidR="006E205D" w:rsidRDefault="006E205D" w:rsidP="006E205D">
      <w:pPr>
        <w:spacing w:line="360" w:lineRule="auto"/>
        <w:ind w:left="720"/>
        <w:jc w:val="both"/>
        <w:rPr>
          <w:rFonts w:ascii="David" w:hAnsi="David"/>
          <w:rtl/>
        </w:rPr>
      </w:pPr>
    </w:p>
    <w:p w:rsidR="006E205D" w:rsidRDefault="006E205D" w:rsidP="006E205D">
      <w:pPr>
        <w:spacing w:line="360" w:lineRule="auto"/>
        <w:jc w:val="both"/>
        <w:rPr>
          <w:rFonts w:ascii="David" w:hAnsi="David"/>
          <w:rtl/>
        </w:rPr>
      </w:pPr>
      <w:r>
        <w:rPr>
          <w:rFonts w:ascii="David" w:hAnsi="David"/>
          <w:rtl/>
        </w:rPr>
        <w:t>5.</w:t>
      </w:r>
      <w:r>
        <w:rPr>
          <w:rFonts w:ascii="David" w:hAnsi="David"/>
          <w:rtl/>
        </w:rPr>
        <w:tab/>
        <w:t xml:space="preserve">התיק שב למסלולו. </w:t>
      </w:r>
    </w:p>
    <w:p w:rsidR="006E205D" w:rsidRDefault="006E205D" w:rsidP="006E205D">
      <w:pPr>
        <w:spacing w:line="360" w:lineRule="auto"/>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עובר לפסק הדין בהחלטה מיום 23/10/22 קבעתי דיון לקדום התביעה שכנגד שהוגשה על ידי המשיבים  כנגד המבקשת לדמי שימוש ראוי  בהמשך מגוריה בדירה בניגוד לצוואת המנוח.</w:t>
      </w:r>
    </w:p>
    <w:p w:rsidR="006E205D" w:rsidRDefault="006E205D" w:rsidP="006E205D">
      <w:pPr>
        <w:spacing w:line="360" w:lineRule="auto"/>
        <w:ind w:left="720"/>
        <w:jc w:val="both"/>
        <w:rPr>
          <w:rFonts w:ascii="David" w:hAnsi="David"/>
          <w:rtl/>
        </w:rPr>
      </w:pPr>
      <w:r>
        <w:rPr>
          <w:rFonts w:ascii="David" w:hAnsi="David"/>
          <w:rtl/>
        </w:rPr>
        <w:t xml:space="preserve">לבקשת המבקשת מונה שמאי מקרקעין להעריך את דמי השכירות החודשיים שניתן לקבל בעבור  הדירה שבמחלוקת. הערכתו הוגשה לתיק ביום 17/1/2023. </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באותו יום 17/1/2023 הגיש בא כוחה של המבקשת בקשה נוספת "בקשה לקביעת מסגרת זמנים להליכי גילוי והגשת ראיות"  בה העלה טענות לגופה של התביעה ומשמעות התביעה שכנגד והיותה תביעה מנשלת וטען, בין היתר, שברצונה לסתור את הטענה בדבר הפרדה  רכושית, לזמן עדים, תוקף ונפקות הסכם הממון, תום הלב ועוד וכן "</w:t>
      </w:r>
      <w:r>
        <w:rPr>
          <w:rFonts w:ascii="David" w:hAnsi="David"/>
          <w:b/>
          <w:bCs/>
          <w:rtl/>
        </w:rPr>
        <w:t>בשים לב לפסק הדין בערעור ולעובדה כי התובענה שכנגד עוסקת עפ"י לשונה בפרשנות שיש ליתן לצוואה מבוקש כי בית המשפט הנכבד ישקול לעניין זה את החלטתו מיום 10.01.23. 7. אשר על כן מבוקש לקבוע מסגרת זמנים לקיום הליכי גילוי  ולאחר מכן הגשת ראיות</w:t>
      </w:r>
      <w:r>
        <w:rPr>
          <w:rFonts w:ascii="David" w:hAnsi="David"/>
          <w:rtl/>
        </w:rPr>
        <w:t>".</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firstLine="720"/>
        <w:jc w:val="both"/>
        <w:rPr>
          <w:rFonts w:ascii="David" w:hAnsi="David"/>
          <w:rtl/>
        </w:rPr>
      </w:pPr>
      <w:r>
        <w:rPr>
          <w:rFonts w:ascii="David" w:hAnsi="David"/>
          <w:rtl/>
        </w:rPr>
        <w:t xml:space="preserve">על בקשה זו ניתנה החלטתי מיום 20/01/2023 - </w:t>
      </w:r>
      <w:r>
        <w:rPr>
          <w:rFonts w:ascii="David" w:hAnsi="David"/>
          <w:b/>
          <w:bCs/>
          <w:u w:val="single"/>
          <w:rtl/>
        </w:rPr>
        <w:t>היא המהות לבקשה לפסילתי</w:t>
      </w:r>
      <w:r>
        <w:rPr>
          <w:rFonts w:ascii="David" w:hAnsi="David"/>
          <w:b/>
          <w:bCs/>
          <w:rtl/>
        </w:rPr>
        <w:t xml:space="preserve"> </w:t>
      </w:r>
      <w:r>
        <w:rPr>
          <w:rFonts w:ascii="David" w:hAnsi="David"/>
          <w:rtl/>
        </w:rPr>
        <w:t xml:space="preserve">-  בה קבעתי: </w:t>
      </w:r>
    </w:p>
    <w:p w:rsidR="006E205D" w:rsidRDefault="006E205D" w:rsidP="006E205D">
      <w:pPr>
        <w:spacing w:line="360" w:lineRule="auto"/>
        <w:ind w:firstLine="720"/>
        <w:jc w:val="both"/>
        <w:rPr>
          <w:rFonts w:ascii="David" w:hAnsi="David"/>
          <w:rtl/>
        </w:rPr>
      </w:pPr>
    </w:p>
    <w:p w:rsidR="006E205D" w:rsidRDefault="006E205D" w:rsidP="006E205D">
      <w:pPr>
        <w:spacing w:line="360" w:lineRule="auto"/>
        <w:ind w:left="720"/>
        <w:jc w:val="both"/>
        <w:rPr>
          <w:rFonts w:ascii="David" w:hAnsi="David"/>
          <w:b/>
          <w:bCs/>
          <w:rtl/>
        </w:rPr>
      </w:pPr>
      <w:r>
        <w:rPr>
          <w:rFonts w:ascii="David" w:hAnsi="David"/>
          <w:rtl/>
        </w:rPr>
        <w:t>"</w:t>
      </w:r>
      <w:r>
        <w:rPr>
          <w:rFonts w:ascii="David" w:hAnsi="David"/>
          <w:b/>
          <w:bCs/>
          <w:rtl/>
        </w:rPr>
        <w:t>להלן לשון ההחלטה מיום  23/10/22 אליה מפנה המבקשת " נקבע להוכחות על בסיס החומר שלפני ליום 05.02.23 בין השעות 11:00 – 14:00.</w:t>
      </w:r>
    </w:p>
    <w:p w:rsidR="006E205D" w:rsidRDefault="006E205D" w:rsidP="006E205D">
      <w:pPr>
        <w:spacing w:line="360" w:lineRule="auto"/>
        <w:ind w:firstLine="720"/>
        <w:jc w:val="both"/>
        <w:rPr>
          <w:rFonts w:ascii="David" w:hAnsi="David"/>
          <w:b/>
          <w:bCs/>
          <w:rtl/>
        </w:rPr>
      </w:pPr>
      <w:r>
        <w:rPr>
          <w:rFonts w:ascii="David" w:hAnsi="David"/>
          <w:b/>
          <w:bCs/>
          <w:rtl/>
        </w:rPr>
        <w:t>בפרק זמן זה גם יישמעו סיכומים בעל פה, כל צד 15 דקות"</w:t>
      </w:r>
    </w:p>
    <w:p w:rsidR="006E205D" w:rsidRDefault="006E205D" w:rsidP="006E205D">
      <w:pPr>
        <w:spacing w:line="360" w:lineRule="auto"/>
        <w:ind w:firstLine="720"/>
        <w:jc w:val="both"/>
        <w:rPr>
          <w:rFonts w:ascii="David" w:hAnsi="David"/>
          <w:b/>
          <w:bCs/>
          <w:rtl/>
        </w:rPr>
      </w:pPr>
      <w:r>
        <w:rPr>
          <w:rFonts w:ascii="David" w:hAnsi="David"/>
          <w:b/>
          <w:bCs/>
          <w:rtl/>
        </w:rPr>
        <w:t xml:space="preserve">משקבעתי ששני התיקים יתנהלו באותו יום מבהיר שהם יתנהלו באותו אופן. </w:t>
      </w:r>
    </w:p>
    <w:p w:rsidR="006E205D" w:rsidRDefault="006E205D" w:rsidP="006E205D">
      <w:pPr>
        <w:spacing w:line="360" w:lineRule="auto"/>
        <w:ind w:left="720"/>
        <w:jc w:val="both"/>
        <w:rPr>
          <w:rFonts w:ascii="David" w:hAnsi="David"/>
          <w:b/>
          <w:bCs/>
          <w:rtl/>
        </w:rPr>
      </w:pPr>
      <w:r>
        <w:rPr>
          <w:rFonts w:ascii="David" w:hAnsi="David"/>
          <w:b/>
          <w:bCs/>
          <w:rtl/>
        </w:rPr>
        <w:t>מבלי לגרוע באמור ככל ולמבקשת בקשה לגילוי ראיות ספציפי, שטרם נדון בתיק, היא רשאית להגיש בקשתה במסגרת בקשה זו (מבלי שתידרש לאגרה נוספת).</w:t>
      </w:r>
    </w:p>
    <w:p w:rsidR="006E205D" w:rsidRDefault="006E205D" w:rsidP="006E205D">
      <w:pPr>
        <w:spacing w:line="360" w:lineRule="auto"/>
        <w:ind w:left="720"/>
        <w:jc w:val="both"/>
        <w:rPr>
          <w:rFonts w:ascii="David" w:hAnsi="David"/>
          <w:b/>
          <w:bCs/>
          <w:rtl/>
        </w:rPr>
      </w:pPr>
      <w:r>
        <w:rPr>
          <w:rFonts w:ascii="David" w:hAnsi="David"/>
          <w:b/>
          <w:bCs/>
          <w:rtl/>
        </w:rPr>
        <w:t>אשר לעדים הצדדים רשאים להגיש בקשה לזימון עדים, תוך התייחסות לרלוונטיות  שלהם לסעד הנתבע (בתביעה העיקרית)  עד  ליום 5/2/23.</w:t>
      </w:r>
    </w:p>
    <w:p w:rsidR="006E205D" w:rsidRDefault="006E205D" w:rsidP="006E205D">
      <w:pPr>
        <w:spacing w:line="360" w:lineRule="auto"/>
        <w:ind w:left="720"/>
        <w:jc w:val="both"/>
        <w:rPr>
          <w:rFonts w:ascii="David" w:hAnsi="David"/>
          <w:rtl/>
        </w:rPr>
      </w:pPr>
      <w:r>
        <w:rPr>
          <w:rFonts w:ascii="David" w:hAnsi="David"/>
          <w:b/>
          <w:bCs/>
          <w:rtl/>
        </w:rPr>
        <w:t>בית המשפט אינו יושב כערכאת ערעור על החלטותיו ועל כן הבקשה לשנות מההחלטה מיום 10/1/23 נדחית. משלא התבקשה תגובה לא ניתן צו להוצאות</w:t>
      </w:r>
      <w:r>
        <w:rPr>
          <w:rFonts w:ascii="David" w:hAnsi="David"/>
          <w:rtl/>
        </w:rPr>
        <w:t xml:space="preserve">"  </w:t>
      </w:r>
    </w:p>
    <w:p w:rsidR="006E205D" w:rsidRDefault="006E205D" w:rsidP="006E205D">
      <w:pPr>
        <w:spacing w:line="360" w:lineRule="auto"/>
        <w:ind w:left="720" w:hanging="720"/>
        <w:jc w:val="both"/>
        <w:rPr>
          <w:rFonts w:ascii="David" w:hAnsi="David"/>
          <w:rtl/>
        </w:rPr>
      </w:pPr>
      <w:r>
        <w:rPr>
          <w:rFonts w:ascii="David" w:hAnsi="David"/>
          <w:rtl/>
        </w:rPr>
        <w:t>6.</w:t>
      </w:r>
      <w:r>
        <w:rPr>
          <w:rFonts w:ascii="David" w:hAnsi="David"/>
          <w:rtl/>
        </w:rPr>
        <w:tab/>
        <w:t>ביום 6/2/2023 הוגשה הבקשה לפסילתי כאמור, וכלשונו "</w:t>
      </w:r>
      <w:r>
        <w:rPr>
          <w:rFonts w:ascii="David" w:hAnsi="David"/>
          <w:b/>
          <w:bCs/>
          <w:rtl/>
        </w:rPr>
        <w:t>וזאת בעיקר ובפרט נוכח החלטתו מיום 20.01.23  ומטעמים נוספים  במצטבר</w:t>
      </w:r>
      <w:r>
        <w:rPr>
          <w:rFonts w:ascii="David" w:hAnsi="David"/>
          <w:rtl/>
        </w:rPr>
        <w:t xml:space="preserve"> ". </w:t>
      </w:r>
    </w:p>
    <w:p w:rsidR="006E205D" w:rsidRDefault="006E205D" w:rsidP="006E205D">
      <w:pPr>
        <w:spacing w:line="360" w:lineRule="auto"/>
        <w:ind w:left="720" w:hanging="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אומר ומיד שהדיבור "</w:t>
      </w:r>
      <w:r>
        <w:rPr>
          <w:rFonts w:ascii="David" w:hAnsi="David"/>
          <w:b/>
          <w:bCs/>
          <w:rtl/>
        </w:rPr>
        <w:t>טעמים נוספים ובמצטבר</w:t>
      </w:r>
      <w:r>
        <w:rPr>
          <w:rFonts w:ascii="David" w:hAnsi="David"/>
          <w:rtl/>
        </w:rPr>
        <w:t xml:space="preserve">" - אינו אוגד דבר חדש וכל הטענות הבלתי מבוססות נבחנו כבר לא אחת הן במסגרת הערעור על  החלטתי שלא לפסול עצמי בפעם הראשונה, בהחלטתה  של כבוד השופטת גאולה לוין  בשתי בקשות רשות ערעור  שהוגשו על ידי המבקשת וכן בפסק דינו של בית המשפט המחוזי מיום  15/1/2023. </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עיון בפרק הדן ב"טעמים לבקשה דנן תחת הגשת הליך ערעורי"  מלמד שאלו נושאים שנבחנו בעבר, בלתי רלוונטים או החלטות שיפוטיות שאינן מקימות את עילת הפסלות. הנושאים שהועלו כבסיס לחיזוק הבקשה לפסילתי מעבר להחלטה מיום 20/1/2023 אין להם דבר וחצי דבר עם הצורך בפסילתי.</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נטען שלדעת המבקשת דעתי "ננעלה" מהטעמים הבאים:</w:t>
      </w:r>
    </w:p>
    <w:p w:rsidR="006E205D" w:rsidRDefault="006E205D" w:rsidP="006E205D">
      <w:pPr>
        <w:spacing w:line="360" w:lineRule="auto"/>
        <w:ind w:left="720"/>
        <w:jc w:val="both"/>
        <w:rPr>
          <w:rFonts w:ascii="David" w:hAnsi="David"/>
          <w:rtl/>
        </w:rPr>
      </w:pPr>
      <w:r>
        <w:rPr>
          <w:rFonts w:ascii="David" w:hAnsi="David"/>
          <w:rtl/>
        </w:rPr>
        <w:t xml:space="preserve"> </w:t>
      </w:r>
    </w:p>
    <w:p w:rsidR="006E205D" w:rsidRDefault="006E205D" w:rsidP="006E205D">
      <w:pPr>
        <w:spacing w:line="360" w:lineRule="auto"/>
        <w:ind w:left="720"/>
        <w:jc w:val="both"/>
        <w:rPr>
          <w:rFonts w:ascii="David" w:hAnsi="David"/>
          <w:rtl/>
        </w:rPr>
      </w:pPr>
      <w:r>
        <w:rPr>
          <w:rFonts w:ascii="David" w:hAnsi="David"/>
          <w:rtl/>
        </w:rPr>
        <w:t>בית  המשפט לא נתן דעתו ולא ייחס חשיבות לכך שאף אחד מהמשיבים לא התייצב לדיונים.</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בית המשפט דחה את בקשת המבקשת לחקור את המשיבים וכי יתייצבו לדיונים וקיבל את גרסתם.</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בית המשפט התעלם מבקשתה להורות למשיבים לשלם אגרה.</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 xml:space="preserve"> קיבל את בקשתם של המשיבים לגילוי מסמכים, אך דחה את בקשתה של המבקשת לגילוי מסמכים.</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בית המשפט נמנע מלהחליט בדבר תוקפו ונפקותו של הסכם הממון נשוא המחלוקת אף שהסכם זה הווה את הבסיס לדחיית התביעה חרף קביעתה של כבוד השופטת גאולה לוין שמדובר בשאלה משפטית ולא עובדתית.</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בהחלטתו מיום 8/8/22... כבוד המותב קבע בסעיף 29 להחלטה...</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בעדותה של עו"ד אטיאס הועלו סתירות רבות .</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ההסכם אותו ערכה עו"ד אטיאס ספק עם המנוח היה מודע להסכם עליו חתם.</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בהחלטתו מיום 10/1/23 ועוד בטרם ההחלטה בערעור שלל המותב מהמבקשת להביא ראיות.</w:t>
      </w:r>
    </w:p>
    <w:p w:rsidR="006E205D" w:rsidRDefault="006E205D" w:rsidP="006E205D">
      <w:pPr>
        <w:spacing w:line="360" w:lineRule="auto"/>
        <w:ind w:left="720"/>
        <w:jc w:val="both"/>
        <w:rPr>
          <w:rFonts w:ascii="David" w:hAnsi="David"/>
          <w:rtl/>
        </w:rPr>
      </w:pPr>
      <w:r>
        <w:rPr>
          <w:rFonts w:ascii="David" w:hAnsi="David"/>
          <w:rtl/>
        </w:rPr>
        <w:t>בשים לב לכך סבורה המבקשת "...</w:t>
      </w:r>
      <w:r>
        <w:rPr>
          <w:rFonts w:ascii="David" w:hAnsi="David"/>
          <w:b/>
          <w:bCs/>
          <w:rtl/>
        </w:rPr>
        <w:t>כי כבוד המותב הנכבד נחרץ בדעתו לפיה דין התביעה להידחות וההחלטה האחרונה בהליכים שבין הצדדים מיום 20.01.23 מדברת בעד עצמה ולמעשה מרוקנת מתוכן את ההחלטה בהליך הערעור ואין בה כדי לאפשר למבקשת את יומה בבית המשפט כדי לשכנע אחרת וזאת בשעה שלמשיבים התאפשר לנהל הליך ממושך ותובעני בבקשתם לדחיית תביעת המבקשת</w:t>
      </w:r>
      <w:r>
        <w:rPr>
          <w:rFonts w:ascii="David" w:hAnsi="David"/>
          <w:rtl/>
        </w:rPr>
        <w:t>".</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hanging="720"/>
        <w:jc w:val="both"/>
        <w:rPr>
          <w:rFonts w:ascii="David" w:hAnsi="David"/>
          <w:rtl/>
        </w:rPr>
      </w:pPr>
      <w:r>
        <w:rPr>
          <w:rFonts w:ascii="David" w:hAnsi="David"/>
          <w:rtl/>
        </w:rPr>
        <w:t>7.</w:t>
      </w:r>
      <w:r>
        <w:rPr>
          <w:rFonts w:ascii="David" w:hAnsi="David"/>
          <w:rtl/>
        </w:rPr>
        <w:tab/>
        <w:t xml:space="preserve">הבקשה הועברה לתגובת המשיבים אשר התנגדו לה. אף הם כמבקשת הרחיבון בתיאור ההליכים בתיק זה. בין היתר הפנו לבקשת הפסלות הראשונה שנדחתה, לכך שהשתלשלות העניינים המובאת בבקשה אינם רלוונטית והדגישו שמהות הבקשה נסמכת על ההחלטה מיום 20/1/2023. המשיבים הפנו  להלכות בעניין זה. עוד ביקשו המשיבים לחלוק על המבקשת ופרשנותה לפסק הדין של בית המשפט המחוזי וביקשו לקוראו ככללו ואף ציטטו ממנו. המשיבים הפנו לכך שהבקשה הוגשה בחוסר תום לב ובעשותה כך הצליחה המבקשת לדחות את דיון ההוכחות שהיה קבוע ליום 19/3/23 לאחר שניסיונות קודמים שלה נכשלו. המשיבים סברו שהמבקשת עושה שימוש לרעה בהליכי משפט. </w:t>
      </w:r>
    </w:p>
    <w:p w:rsidR="006E205D" w:rsidRDefault="006E205D" w:rsidP="006E205D">
      <w:pPr>
        <w:spacing w:line="360" w:lineRule="auto"/>
        <w:ind w:left="720" w:hanging="720"/>
        <w:jc w:val="both"/>
        <w:rPr>
          <w:rFonts w:ascii="David" w:hAnsi="David"/>
          <w:rtl/>
        </w:rPr>
      </w:pPr>
    </w:p>
    <w:p w:rsidR="006E205D" w:rsidRDefault="006E205D" w:rsidP="006E205D">
      <w:pPr>
        <w:spacing w:line="360" w:lineRule="auto"/>
        <w:jc w:val="both"/>
        <w:rPr>
          <w:rFonts w:ascii="David" w:hAnsi="David"/>
          <w:b/>
          <w:bCs/>
          <w:rtl/>
        </w:rPr>
      </w:pPr>
      <w:r>
        <w:rPr>
          <w:rFonts w:ascii="David" w:hAnsi="David"/>
          <w:b/>
          <w:bCs/>
          <w:u w:val="single"/>
          <w:rtl/>
        </w:rPr>
        <w:t>דיון והכרעה</w:t>
      </w:r>
      <w:r>
        <w:rPr>
          <w:rFonts w:ascii="David" w:hAnsi="David"/>
          <w:b/>
          <w:bCs/>
          <w:rtl/>
        </w:rPr>
        <w:t xml:space="preserve">:  </w:t>
      </w:r>
    </w:p>
    <w:p w:rsidR="006E205D" w:rsidRDefault="006E205D" w:rsidP="006E205D">
      <w:pPr>
        <w:spacing w:line="360" w:lineRule="auto"/>
        <w:jc w:val="both"/>
        <w:rPr>
          <w:rFonts w:ascii="David" w:hAnsi="David"/>
          <w:b/>
          <w:bCs/>
          <w:rtl/>
        </w:rPr>
      </w:pPr>
    </w:p>
    <w:p w:rsidR="006E205D" w:rsidRDefault="006E205D" w:rsidP="006E205D">
      <w:pPr>
        <w:spacing w:line="360" w:lineRule="auto"/>
        <w:ind w:left="720" w:hanging="720"/>
        <w:jc w:val="both"/>
        <w:rPr>
          <w:rFonts w:ascii="David" w:hAnsi="David"/>
          <w:rtl/>
        </w:rPr>
      </w:pPr>
      <w:r>
        <w:rPr>
          <w:rFonts w:ascii="David" w:hAnsi="David"/>
          <w:rtl/>
        </w:rPr>
        <w:t>8.</w:t>
      </w:r>
      <w:r>
        <w:rPr>
          <w:rFonts w:ascii="David" w:hAnsi="David"/>
          <w:rtl/>
        </w:rPr>
        <w:tab/>
        <w:t>המעיין במובא לעיל מתוך הבקשה מבין שכעולה מהבקשה עצמה העילה לפסילתי היא החלטתי מיום 20/1/23, הא ותו לא. כל הנושאים המועלים על ידי בא כוחה של המבקשת נבחנו בהליכים השונים וברי שאין באף לא אחד מהם כדי להביא לפסילתי ויתרה מכך לתת הסבר להימנעות המבקשת להגיש בקשת רשות ערעור לבית המשפט המחוזי. אם בהחלטתי מיום 20/1/23 אני מביא לריקונו של פסק הדין מתוכנו מה יותר ראוי מלפנות לבית המשפט המחוזי בעניין זה?! אלא שגם המבקשת ובא כוחה יודעים שאין ממש בטענה ועל כן היא לא  השיגה על החלטתי זו בבקשה לבית המחוזי ופנתה בבקשה לפסילתי – הדרך הקלה והמהירה לשיתוקו של התיק</w:t>
      </w:r>
      <w:r>
        <w:rPr>
          <w:rFonts w:ascii="David" w:hAnsi="David"/>
          <w:b/>
          <w:bCs/>
          <w:rtl/>
        </w:rPr>
        <w:t xml:space="preserve">. </w:t>
      </w:r>
      <w:r>
        <w:rPr>
          <w:rFonts w:ascii="David" w:hAnsi="David"/>
          <w:rtl/>
        </w:rPr>
        <w:t xml:space="preserve">גם המבקשת וגם בא כוחה יודעים אל נכון שאותו הסבר, </w:t>
      </w:r>
      <w:r>
        <w:rPr>
          <w:rFonts w:ascii="David" w:hAnsi="David"/>
          <w:rtl/>
        </w:rPr>
        <w:lastRenderedPageBreak/>
        <w:t xml:space="preserve">לכאורה, שיש דברים נוספים מעבר להחלטה מיום 20/1/23 כבסיס לפסילתי  אין בו ממש ולטענות הסבר בהליכים השונים בתיק זה. </w:t>
      </w:r>
    </w:p>
    <w:p w:rsidR="006E205D" w:rsidRDefault="006E205D" w:rsidP="006E205D">
      <w:pPr>
        <w:spacing w:line="360" w:lineRule="auto"/>
        <w:ind w:left="720" w:hanging="720"/>
        <w:jc w:val="both"/>
        <w:rPr>
          <w:rFonts w:ascii="David" w:hAnsi="David"/>
          <w:b/>
          <w:bCs/>
          <w:rtl/>
        </w:rPr>
      </w:pPr>
    </w:p>
    <w:p w:rsidR="006E205D" w:rsidRDefault="006E205D" w:rsidP="006E205D">
      <w:pPr>
        <w:spacing w:line="360" w:lineRule="auto"/>
        <w:ind w:left="720" w:hanging="720"/>
        <w:jc w:val="both"/>
        <w:rPr>
          <w:rFonts w:ascii="David" w:hAnsi="David"/>
          <w:rtl/>
        </w:rPr>
      </w:pPr>
      <w:r>
        <w:rPr>
          <w:rFonts w:ascii="David" w:hAnsi="David"/>
          <w:rtl/>
        </w:rPr>
        <w:t>9.</w:t>
      </w:r>
      <w:r>
        <w:rPr>
          <w:rFonts w:ascii="David" w:hAnsi="David"/>
          <w:b/>
          <w:bCs/>
          <w:rtl/>
        </w:rPr>
        <w:tab/>
      </w:r>
      <w:r>
        <w:rPr>
          <w:rFonts w:ascii="David" w:hAnsi="David"/>
          <w:rtl/>
        </w:rPr>
        <w:t>נקבע ש"</w:t>
      </w:r>
      <w:r>
        <w:rPr>
          <w:rFonts w:ascii="David" w:hAnsi="David"/>
          <w:b/>
          <w:bCs/>
          <w:rtl/>
        </w:rPr>
        <w:t>בקשה לפסילת שופט אינה עניין של מה בכך</w:t>
      </w:r>
      <w:r>
        <w:rPr>
          <w:rFonts w:ascii="David" w:hAnsi="David"/>
          <w:rtl/>
        </w:rPr>
        <w:t>. ...</w:t>
      </w:r>
      <w:r>
        <w:rPr>
          <w:rFonts w:ascii="David" w:hAnsi="David"/>
          <w:b/>
          <w:bCs/>
          <w:rtl/>
        </w:rPr>
        <w:t>היא מטילה ספק ביכולתו של השופט לשבת לדין. יש בה משום הטלת צל על מערכת המשפט כולה. היא גורמת להפסקת הדיון בהליך, שכן חובה להחליט בה לפני כל טענה אחרת,</w:t>
      </w:r>
      <w:r>
        <w:rPr>
          <w:rFonts w:ascii="David" w:hAnsi="David"/>
          <w:rtl/>
        </w:rPr>
        <w:t xml:space="preserve">... </w:t>
      </w:r>
      <w:r>
        <w:rPr>
          <w:rFonts w:ascii="David" w:hAnsi="David"/>
          <w:b/>
          <w:bCs/>
          <w:rtl/>
        </w:rPr>
        <w:t>אשר על כן אין להגיש בקשה זו כדבר של מה בכך, אלא לאחר שקילה ובירור יסודי של כל העובדות"</w:t>
      </w:r>
      <w:r>
        <w:rPr>
          <w:rFonts w:ascii="David" w:hAnsi="David"/>
          <w:rtl/>
        </w:rPr>
        <w:t xml:space="preserve"> [יגאל מרזל, </w:t>
      </w:r>
      <w:r>
        <w:rPr>
          <w:rFonts w:ascii="David" w:hAnsi="David"/>
          <w:u w:val="single"/>
          <w:rtl/>
        </w:rPr>
        <w:t xml:space="preserve">דיני פסלות </w:t>
      </w:r>
      <w:r>
        <w:rPr>
          <w:rFonts w:ascii="David" w:hAnsi="David"/>
          <w:rtl/>
        </w:rPr>
        <w:t>שופט (2006) (להלן-מרזל)  עמ' 175]. עוד נקבע ש"</w:t>
      </w:r>
      <w:r>
        <w:rPr>
          <w:rFonts w:ascii="David" w:hAnsi="David"/>
          <w:b/>
          <w:bCs/>
          <w:rtl/>
        </w:rPr>
        <w:t xml:space="preserve">הזכות לשבת בדין היא גם החובה לעשות כן </w:t>
      </w:r>
      <w:r>
        <w:rPr>
          <w:rFonts w:ascii="David" w:hAnsi="David"/>
          <w:rtl/>
        </w:rPr>
        <w:t xml:space="preserve">... </w:t>
      </w:r>
      <w:r>
        <w:rPr>
          <w:rFonts w:ascii="David" w:hAnsi="David"/>
          <w:b/>
          <w:bCs/>
          <w:rtl/>
        </w:rPr>
        <w:t>זוהי חובה  גם כלפי הצדדים במסגרת הצורך בהשגת הכרעה צודקת וברורה ותוך זמן סביר. זוהי חובה של השופט כלפי הציבור בכללותו שצפייתו הצודקת היא שהשופט לא יבור לו את התיקים אלא ידון בתיקים המובאים לפניו</w:t>
      </w:r>
      <w:r>
        <w:rPr>
          <w:rFonts w:ascii="David" w:hAnsi="David"/>
          <w:rtl/>
        </w:rPr>
        <w:t xml:space="preserve">" (מרזל, עמ' 22).   </w:t>
      </w:r>
    </w:p>
    <w:p w:rsidR="006E205D" w:rsidRDefault="006E205D" w:rsidP="006E205D">
      <w:pPr>
        <w:spacing w:line="360" w:lineRule="auto"/>
        <w:ind w:left="720" w:hanging="720"/>
        <w:jc w:val="both"/>
        <w:rPr>
          <w:rFonts w:ascii="David" w:hAnsi="David"/>
          <w:rtl/>
        </w:rPr>
      </w:pPr>
      <w:r>
        <w:rPr>
          <w:rFonts w:ascii="David" w:hAnsi="David"/>
          <w:rtl/>
        </w:rPr>
        <w:t>10.</w:t>
      </w:r>
      <w:r>
        <w:rPr>
          <w:rFonts w:ascii="David" w:hAnsi="David"/>
          <w:b/>
          <w:bCs/>
          <w:rtl/>
        </w:rPr>
        <w:tab/>
        <w:t xml:space="preserve">עוד נקבע "לנו נראה כי ההלכה הנוהגת בישראל-שלפיה אמת המידה היא אובייקטיבית, במובן זה שהיא בודקת החשש הממשי לקיומו של משוא פנים ולא מראית פני הצדק – היא הלכה ראויה ואין סיבה של ממש לסטות ממנה"  </w:t>
      </w:r>
      <w:r>
        <w:rPr>
          <w:rFonts w:ascii="David" w:hAnsi="David"/>
          <w:rtl/>
        </w:rPr>
        <w:t>(מרזל, עמ' 108)</w:t>
      </w:r>
      <w:r>
        <w:rPr>
          <w:rFonts w:ascii="David" w:hAnsi="David"/>
          <w:b/>
          <w:bCs/>
          <w:rtl/>
        </w:rPr>
        <w:t xml:space="preserve">. </w:t>
      </w:r>
      <w:r>
        <w:rPr>
          <w:rFonts w:ascii="David" w:hAnsi="David"/>
          <w:rtl/>
        </w:rPr>
        <w:t>(כן ראו מרזל עמ' 85-84).</w:t>
      </w:r>
    </w:p>
    <w:p w:rsidR="006E205D" w:rsidRDefault="006E205D" w:rsidP="006E205D">
      <w:pPr>
        <w:spacing w:line="360" w:lineRule="auto"/>
        <w:ind w:left="720" w:hanging="720"/>
        <w:jc w:val="both"/>
        <w:rPr>
          <w:rFonts w:ascii="David" w:hAnsi="David"/>
          <w:rtl/>
        </w:rPr>
      </w:pPr>
    </w:p>
    <w:p w:rsidR="006E205D" w:rsidRDefault="006E205D" w:rsidP="006E205D">
      <w:pPr>
        <w:spacing w:line="360" w:lineRule="auto"/>
        <w:ind w:left="720" w:hanging="720"/>
        <w:jc w:val="both"/>
        <w:rPr>
          <w:rFonts w:ascii="David" w:hAnsi="David"/>
          <w:u w:val="single"/>
        </w:rPr>
      </w:pPr>
      <w:r>
        <w:rPr>
          <w:rFonts w:ascii="David" w:hAnsi="David"/>
          <w:rtl/>
        </w:rPr>
        <w:t>11.</w:t>
      </w:r>
      <w:r>
        <w:rPr>
          <w:rFonts w:ascii="David" w:hAnsi="David"/>
          <w:rtl/>
        </w:rPr>
        <w:tab/>
        <w:t>טרם נעילה וההפניה להלכות בעניין יפה לענייננו החלטת כבוד הנשיאה בבקשתה הראשונה של המבקשת לפסילתי שהובאה לעיל בסעיף 2</w:t>
      </w:r>
      <w:r>
        <w:rPr>
          <w:rFonts w:ascii="David" w:hAnsi="David"/>
          <w:u w:val="single"/>
          <w:rtl/>
        </w:rPr>
        <w:t xml:space="preserve">  שדומני שדי בה כדי לתת מענה גם בבקשה שנייה זו לפסילתי.</w:t>
      </w:r>
    </w:p>
    <w:p w:rsidR="006E205D" w:rsidRDefault="006E205D" w:rsidP="006E205D">
      <w:pPr>
        <w:spacing w:line="360" w:lineRule="auto"/>
        <w:ind w:left="720" w:hanging="720"/>
        <w:jc w:val="both"/>
        <w:rPr>
          <w:rFonts w:ascii="David" w:hAnsi="David"/>
          <w:rtl/>
        </w:rPr>
      </w:pPr>
    </w:p>
    <w:p w:rsidR="006E205D" w:rsidRDefault="006E205D" w:rsidP="006E205D">
      <w:pPr>
        <w:spacing w:line="360" w:lineRule="auto"/>
        <w:ind w:left="720" w:hanging="720"/>
        <w:jc w:val="both"/>
        <w:rPr>
          <w:rFonts w:ascii="David" w:hAnsi="David"/>
          <w:b/>
          <w:bCs/>
          <w:rtl/>
        </w:rPr>
      </w:pPr>
      <w:r>
        <w:rPr>
          <w:rFonts w:ascii="David" w:hAnsi="David"/>
          <w:b/>
          <w:bCs/>
          <w:u w:val="single"/>
          <w:rtl/>
        </w:rPr>
        <w:t>אחרית דבר</w:t>
      </w:r>
      <w:r>
        <w:rPr>
          <w:rFonts w:ascii="David" w:hAnsi="David"/>
          <w:b/>
          <w:bCs/>
          <w:rtl/>
        </w:rPr>
        <w:t>:</w:t>
      </w:r>
      <w:r>
        <w:rPr>
          <w:rFonts w:ascii="David" w:hAnsi="David"/>
          <w:b/>
          <w:bCs/>
          <w:rtl/>
        </w:rPr>
        <w:tab/>
      </w:r>
    </w:p>
    <w:p w:rsidR="006E205D" w:rsidRDefault="006E205D" w:rsidP="006E205D">
      <w:pPr>
        <w:spacing w:line="360" w:lineRule="auto"/>
        <w:ind w:left="720" w:hanging="720"/>
        <w:jc w:val="both"/>
        <w:rPr>
          <w:rFonts w:ascii="David" w:hAnsi="David"/>
          <w:b/>
          <w:bCs/>
          <w:rtl/>
        </w:rPr>
      </w:pPr>
    </w:p>
    <w:p w:rsidR="006E205D" w:rsidRDefault="006E205D" w:rsidP="006E205D">
      <w:pPr>
        <w:spacing w:line="360" w:lineRule="auto"/>
        <w:ind w:left="720" w:hanging="720"/>
        <w:jc w:val="both"/>
        <w:rPr>
          <w:rFonts w:ascii="David" w:hAnsi="David"/>
          <w:rtl/>
        </w:rPr>
      </w:pPr>
      <w:r>
        <w:rPr>
          <w:rFonts w:ascii="David" w:hAnsi="David"/>
          <w:rtl/>
        </w:rPr>
        <w:t xml:space="preserve">12. </w:t>
      </w:r>
      <w:r>
        <w:rPr>
          <w:rFonts w:ascii="David" w:hAnsi="David"/>
          <w:rtl/>
        </w:rPr>
        <w:tab/>
        <w:t xml:space="preserve">כללו של דבר לאור המובא והמקובץ לעיל הבקשה נדחית. </w:t>
      </w:r>
    </w:p>
    <w:p w:rsidR="006E205D" w:rsidRDefault="006E205D" w:rsidP="006E205D">
      <w:pPr>
        <w:spacing w:line="360" w:lineRule="auto"/>
        <w:ind w:left="720" w:hanging="720"/>
        <w:jc w:val="both"/>
        <w:rPr>
          <w:rFonts w:ascii="David" w:hAnsi="David"/>
          <w:rtl/>
        </w:rPr>
      </w:pPr>
    </w:p>
    <w:p w:rsidR="006E205D" w:rsidRDefault="006E205D" w:rsidP="006E205D">
      <w:pPr>
        <w:spacing w:line="360" w:lineRule="auto"/>
        <w:ind w:left="720" w:hanging="720"/>
        <w:jc w:val="both"/>
        <w:rPr>
          <w:rFonts w:ascii="David" w:hAnsi="David"/>
          <w:rtl/>
        </w:rPr>
      </w:pPr>
      <w:r>
        <w:rPr>
          <w:rFonts w:ascii="David" w:hAnsi="David"/>
          <w:rtl/>
        </w:rPr>
        <w:t xml:space="preserve">13. </w:t>
      </w:r>
      <w:r>
        <w:rPr>
          <w:rFonts w:ascii="David" w:hAnsi="David"/>
          <w:rtl/>
        </w:rPr>
        <w:tab/>
        <w:t>קולמוסים רבים נכתבו על יכולתו של הנייר לספוג הכול והקול. ברם, ביום 1/1/2021 נפל דבר בעולמנו המשפטי עת תוקנו תקנות סדר הדין האזרחי תשע"ט – 2020. על פי תקנות אלו המקרינות גם על תקנות בית משפט לענייני משפחה (סדרי דין) תשפ"א  2020, הדרישה מבעל הדין ומייצגו לבד מהחובה  "...</w:t>
      </w:r>
      <w:r>
        <w:rPr>
          <w:rFonts w:ascii="David" w:hAnsi="David"/>
          <w:b/>
          <w:bCs/>
          <w:rtl/>
        </w:rPr>
        <w:t>לסייע לבית המשפט בקיום המוטל עליו על פי תקנות אלה</w:t>
      </w:r>
      <w:r>
        <w:rPr>
          <w:rFonts w:ascii="David" w:hAnsi="David"/>
          <w:rtl/>
        </w:rPr>
        <w:t>"  גם לנהוג "...</w:t>
      </w:r>
      <w:r>
        <w:rPr>
          <w:rFonts w:ascii="David" w:hAnsi="David"/>
          <w:b/>
          <w:bCs/>
          <w:rtl/>
        </w:rPr>
        <w:t>בתום לב ובהגינות דיונית תוך שהם מסייעים במימוש התכלית הדיונית, ובכלל זה העמדת הפלוגתות שבמחלוקת בין בעלי הדין, מיקודן, בירורן והכרעה בהן</w:t>
      </w:r>
      <w:r>
        <w:rPr>
          <w:rFonts w:ascii="David" w:hAnsi="David"/>
          <w:rtl/>
        </w:rPr>
        <w:t>" (תקנה 3 (ב).</w:t>
      </w:r>
    </w:p>
    <w:p w:rsidR="006E205D" w:rsidRDefault="006E205D" w:rsidP="006E205D">
      <w:pPr>
        <w:spacing w:line="360" w:lineRule="auto"/>
        <w:ind w:left="720" w:hanging="720"/>
        <w:jc w:val="both"/>
        <w:rPr>
          <w:rFonts w:ascii="David" w:hAnsi="David"/>
          <w:rtl/>
        </w:rPr>
      </w:pPr>
      <w:r>
        <w:rPr>
          <w:rFonts w:ascii="David" w:hAnsi="David"/>
          <w:rtl/>
        </w:rPr>
        <w:tab/>
      </w:r>
    </w:p>
    <w:p w:rsidR="006E205D" w:rsidRDefault="006E205D" w:rsidP="006E205D">
      <w:pPr>
        <w:spacing w:line="360" w:lineRule="auto"/>
        <w:ind w:left="720"/>
        <w:jc w:val="both"/>
        <w:rPr>
          <w:rFonts w:ascii="David" w:hAnsi="David"/>
          <w:rtl/>
        </w:rPr>
      </w:pPr>
      <w:r>
        <w:rPr>
          <w:rFonts w:ascii="David" w:hAnsi="David"/>
          <w:rtl/>
        </w:rPr>
        <w:t xml:space="preserve">המבקשת מודעת להלכות שבדבר פסלות שופט, או אמורה להיות מודעת להן לאור החלטת כבוד הנשיאה חיות שדחתה את בקשתה הראשונה לפסילתי. היה על המבקשת להפנים שבקשת פסלות אינה תחליף להגשת בקשת רשות ערעור על החלטות בית המשפט ובכלל זה ביחס להחלטתי מיום 20/1/23.  יודגש בשנית, מהות הבקשה לפסילתי היא החלטתי מיום 20/1/23 החלטה עליה לא הוגשה בקשת רשות ערעור!  אם כן מה לה למבקשת להגיש </w:t>
      </w:r>
      <w:r>
        <w:rPr>
          <w:rFonts w:ascii="David" w:hAnsi="David"/>
          <w:rtl/>
        </w:rPr>
        <w:lastRenderedPageBreak/>
        <w:t>בקשה לפסילתי?  מקל וחומר נכונים הדברים לאור טענותיה על קיומם של דברים נוספים להחלטה האמורה .</w:t>
      </w:r>
    </w:p>
    <w:p w:rsidR="006E205D" w:rsidRDefault="006E205D" w:rsidP="006E205D">
      <w:pPr>
        <w:spacing w:line="360" w:lineRule="auto"/>
        <w:ind w:left="720" w:hanging="720"/>
        <w:jc w:val="both"/>
        <w:rPr>
          <w:rFonts w:ascii="David" w:hAnsi="David"/>
          <w:rtl/>
        </w:rPr>
      </w:pPr>
    </w:p>
    <w:p w:rsidR="006E205D" w:rsidRDefault="006E205D" w:rsidP="006E205D">
      <w:pPr>
        <w:spacing w:line="360" w:lineRule="auto"/>
        <w:ind w:left="720" w:hanging="720"/>
        <w:jc w:val="both"/>
        <w:rPr>
          <w:rFonts w:ascii="David" w:hAnsi="David"/>
          <w:rtl/>
        </w:rPr>
      </w:pPr>
      <w:r>
        <w:rPr>
          <w:rFonts w:ascii="David" w:hAnsi="David"/>
          <w:rtl/>
        </w:rPr>
        <w:t>14.</w:t>
      </w:r>
      <w:r>
        <w:rPr>
          <w:rFonts w:ascii="David" w:hAnsi="David"/>
          <w:rtl/>
        </w:rPr>
        <w:tab/>
        <w:t xml:space="preserve">יש ממרה בה משתמשים דרך כלל פרקליטים כדי להעיד על מרשיהם לעניין הוצאות וטוענים שמרשם חסך מזמנו היקר של בית המשפט. אמרה זו בטעות יסודה. משאב הזמן אינו של בית המשפט הוא של הציבור. ההעמסה בהליכים כמו הבקשה שלפני לא פגעה בזמנו של בית המשפט. היא פגעה באינטרס של הציבור. בשל בקשה חסרת טעם, מגמתית ובלתי ראויה זו הוסטו הצידה החלטות אחרות שהיו יכולות להתקבל בזמן הזה. המבקשת בכוונת מכוון, תוך ידיעה ברורה או מתוך חובה לדעת שאין ממש בבקשתה והיא הוגשה רק כדי לדחות ההליכים ראוי שתפצה את הציבור. </w:t>
      </w:r>
    </w:p>
    <w:p w:rsidR="006E205D" w:rsidRDefault="006E205D" w:rsidP="006E205D">
      <w:pPr>
        <w:spacing w:line="360" w:lineRule="auto"/>
        <w:ind w:left="720" w:hanging="720"/>
        <w:jc w:val="both"/>
        <w:rPr>
          <w:rFonts w:ascii="David" w:hAnsi="David"/>
          <w:rtl/>
        </w:rPr>
      </w:pPr>
    </w:p>
    <w:p w:rsidR="006E205D" w:rsidRDefault="006E205D" w:rsidP="006E205D">
      <w:pPr>
        <w:spacing w:line="360" w:lineRule="auto"/>
        <w:ind w:left="720"/>
        <w:jc w:val="both"/>
        <w:rPr>
          <w:rFonts w:ascii="David" w:hAnsi="David"/>
          <w:rtl/>
        </w:rPr>
      </w:pPr>
      <w:r>
        <w:rPr>
          <w:rFonts w:ascii="David" w:hAnsi="David"/>
          <w:rtl/>
        </w:rPr>
        <w:t>על כן אני פוסק עליה במשורה הוצאות לטובת אוצר המדינה בסך 2,000 ₪.</w:t>
      </w:r>
    </w:p>
    <w:p w:rsidR="006E205D" w:rsidRDefault="006E205D" w:rsidP="006E205D">
      <w:pPr>
        <w:spacing w:line="360" w:lineRule="auto"/>
        <w:ind w:left="720"/>
        <w:jc w:val="both"/>
        <w:rPr>
          <w:rFonts w:ascii="David" w:hAnsi="David"/>
          <w:rtl/>
        </w:rPr>
      </w:pPr>
    </w:p>
    <w:p w:rsidR="006E205D" w:rsidRDefault="006E205D" w:rsidP="006E205D">
      <w:pPr>
        <w:spacing w:line="360" w:lineRule="auto"/>
        <w:ind w:left="720"/>
        <w:jc w:val="both"/>
        <w:rPr>
          <w:rFonts w:ascii="David" w:hAnsi="David"/>
        </w:rPr>
      </w:pPr>
      <w:r>
        <w:rPr>
          <w:rFonts w:ascii="David" w:hAnsi="David"/>
          <w:rtl/>
        </w:rPr>
        <w:t>בנוסף מצאתי לחייב את המבקשת בהוצאות המשיבים בסך 5,000 ₪.</w:t>
      </w:r>
    </w:p>
    <w:p w:rsidR="006E205D" w:rsidRDefault="006E205D" w:rsidP="006E205D">
      <w:pPr>
        <w:spacing w:line="360" w:lineRule="auto"/>
        <w:ind w:left="720"/>
        <w:jc w:val="both"/>
        <w:rPr>
          <w:rFonts w:ascii="David" w:hAnsi="David"/>
          <w:rtl/>
        </w:rPr>
      </w:pPr>
    </w:p>
    <w:p w:rsidR="006E205D" w:rsidRDefault="006E205D" w:rsidP="006E205D">
      <w:pPr>
        <w:spacing w:line="360" w:lineRule="auto"/>
        <w:jc w:val="both"/>
        <w:rPr>
          <w:rFonts w:ascii="David" w:hAnsi="David"/>
          <w:rtl/>
        </w:rPr>
      </w:pPr>
      <w:r>
        <w:rPr>
          <w:rFonts w:ascii="David" w:hAnsi="David"/>
          <w:rtl/>
        </w:rPr>
        <w:t>15.</w:t>
      </w:r>
      <w:r>
        <w:rPr>
          <w:rFonts w:ascii="David" w:hAnsi="David"/>
          <w:rtl/>
        </w:rPr>
        <w:tab/>
        <w:t>מתיר פרסום החלטתי בהסתרת  פרטים מזהים.</w:t>
      </w:r>
    </w:p>
    <w:p w:rsidR="006E205D" w:rsidRDefault="006E205D" w:rsidP="006E205D">
      <w:pPr>
        <w:spacing w:line="360" w:lineRule="auto"/>
        <w:jc w:val="both"/>
        <w:rPr>
          <w:rFonts w:ascii="David" w:hAnsi="David"/>
          <w:rtl/>
        </w:rPr>
      </w:pPr>
    </w:p>
    <w:p w:rsidR="006E205D" w:rsidRDefault="006E205D" w:rsidP="006E205D">
      <w:pPr>
        <w:spacing w:line="360" w:lineRule="auto"/>
        <w:jc w:val="both"/>
        <w:rPr>
          <w:rFonts w:ascii="David" w:hAnsi="David"/>
          <w:rtl/>
        </w:rPr>
      </w:pPr>
      <w:r>
        <w:rPr>
          <w:rFonts w:ascii="David" w:hAnsi="David"/>
          <w:rtl/>
        </w:rPr>
        <w:t>16.</w:t>
      </w:r>
      <w:r>
        <w:rPr>
          <w:rFonts w:ascii="David" w:hAnsi="David"/>
          <w:rtl/>
        </w:rPr>
        <w:tab/>
        <w:t>תואיל המזכירות לשלוח החלטתי לצדדים.</w:t>
      </w:r>
    </w:p>
    <w:p w:rsidR="006E205D" w:rsidRDefault="006E205D" w:rsidP="006E205D">
      <w:pPr>
        <w:spacing w:line="360" w:lineRule="auto"/>
        <w:jc w:val="both"/>
        <w:rPr>
          <w:rFonts w:ascii="Arial" w:hAnsi="Arial"/>
          <w:noProof w:val="0"/>
          <w:rtl/>
        </w:rPr>
      </w:pPr>
    </w:p>
    <w:p w:rsidR="006E205D" w:rsidRDefault="006E205D" w:rsidP="006E205D">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ה' תמוז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יוני 2023</w:t>
          </w:r>
        </w:sdtContent>
      </w:sdt>
      <w:r>
        <w:rPr>
          <w:rFonts w:ascii="Arial" w:hAnsi="Arial"/>
          <w:noProof w:val="0"/>
          <w:rtl/>
        </w:rPr>
        <w:t>, בהעדר הצדדים.</w:t>
      </w:r>
    </w:p>
    <w:p w:rsidR="006E205D" w:rsidRDefault="00283950" w:rsidP="006E205D">
      <w:pPr>
        <w:tabs>
          <w:tab w:val="left" w:pos="2553"/>
        </w:tabs>
        <w:ind w:left="5040"/>
        <w:rPr>
          <w:rtl/>
        </w:rPr>
      </w:pPr>
      <w:sdt>
        <w:sdtPr>
          <w:rPr>
            <w:rtl/>
          </w:rPr>
          <w:alias w:val="2045"/>
          <w:tag w:val="2045"/>
          <w:id w:val="740689340"/>
          <w:placeholder>
            <w:docPart w:val="23B4E845A45B48DD9A29C202B1C9B146"/>
          </w:placeholder>
          <w:showingPlcHdr/>
          <w:text w:multiLine="1"/>
        </w:sdtPr>
        <w:sdtEndPr/>
        <w:sdtContent>
          <w:r w:rsidR="006E205D">
            <w:rPr>
              <w:rtl/>
            </w:rPr>
            <w:t xml:space="preserve">     </w:t>
          </w:r>
        </w:sdtContent>
      </w:sdt>
    </w:p>
    <w:p w:rsidR="006E205D" w:rsidRDefault="006E205D" w:rsidP="006E205D">
      <w:pPr>
        <w:tabs>
          <w:tab w:val="left" w:pos="2553"/>
        </w:tabs>
        <w:rPr>
          <w:rtl/>
        </w:rPr>
      </w:pPr>
      <w:r>
        <w:rPr>
          <w:rtl/>
        </w:rPr>
        <w:tab/>
      </w:r>
      <w:r>
        <w:rPr>
          <w:rtl/>
        </w:rPr>
        <w:tab/>
      </w:r>
      <w:r>
        <w:rPr>
          <w:rtl/>
        </w:rPr>
        <w:tab/>
      </w:r>
      <w:r>
        <w:rPr>
          <w:rtl/>
        </w:rPr>
        <w:tab/>
        <w:t xml:space="preserve">        </w:t>
      </w:r>
      <w:sdt>
        <w:sdtPr>
          <w:rPr>
            <w:rtl/>
          </w:rPr>
          <w:alias w:val="MergeField"/>
          <w:tag w:val="1237"/>
          <w:id w:val="-150063548"/>
        </w:sdtPr>
        <w:sdtEndPr/>
        <w:sdtContent>
          <w:r>
            <w:drawing>
              <wp:inline distT="0" distB="0" distL="0" distR="0">
                <wp:extent cx="204787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sdtContent>
      </w:sdt>
    </w:p>
    <w:p w:rsidR="006E205D" w:rsidRDefault="006E205D" w:rsidP="006E205D">
      <w:pPr>
        <w:tabs>
          <w:tab w:val="left" w:pos="2553"/>
        </w:tabs>
        <w:rPr>
          <w:rFonts w:ascii="Arial" w:hAnsi="Arial"/>
          <w:noProof w:val="0"/>
        </w:rPr>
      </w:pPr>
    </w:p>
    <w:p w:rsidR="003C298D" w:rsidRDefault="003C298D"/>
    <w:sectPr w:rsidR="003C298D"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5D"/>
    <w:rsid w:val="00283950"/>
    <w:rsid w:val="003C298D"/>
    <w:rsid w:val="006E205D"/>
    <w:rsid w:val="00837C70"/>
    <w:rsid w:val="00C11DC6"/>
    <w:rsid w:val="00EB4A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A1ABB6-929D-4818-8D93-440880214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05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E205D"/>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unhideWhenUsed/>
    <w:rsid w:val="006E205D"/>
    <w:pPr>
      <w:tabs>
        <w:tab w:val="center" w:pos="4153"/>
        <w:tab w:val="right" w:pos="8306"/>
      </w:tabs>
    </w:pPr>
  </w:style>
  <w:style w:type="character" w:customStyle="1" w:styleId="a5">
    <w:name w:val="כותרת עליונה תו"/>
    <w:basedOn w:val="a0"/>
    <w:link w:val="a4"/>
    <w:semiHidden/>
    <w:rsid w:val="006E205D"/>
    <w:rPr>
      <w:rFonts w:ascii="Times New Roman" w:eastAsia="Times New Roman" w:hAnsi="Times New Roman" w:cs="David"/>
      <w:noProof/>
      <w:sz w:val="24"/>
      <w:szCs w:val="24"/>
    </w:rPr>
  </w:style>
  <w:style w:type="paragraph" w:styleId="NormalWeb">
    <w:name w:val="Normal (Web)"/>
    <w:basedOn w:val="a"/>
    <w:uiPriority w:val="99"/>
    <w:semiHidden/>
    <w:unhideWhenUsed/>
    <w:rsid w:val="006E205D"/>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808324">
      <w:bodyDiv w:val="1"/>
      <w:marLeft w:val="0"/>
      <w:marRight w:val="0"/>
      <w:marTop w:val="0"/>
      <w:marBottom w:val="0"/>
      <w:divBdr>
        <w:top w:val="none" w:sz="0" w:space="0" w:color="auto"/>
        <w:left w:val="none" w:sz="0" w:space="0" w:color="auto"/>
        <w:bottom w:val="none" w:sz="0" w:space="0" w:color="auto"/>
        <w:right w:val="none" w:sz="0" w:space="0" w:color="auto"/>
      </w:divBdr>
    </w:div>
    <w:div w:id="138375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3B4E845A45B48DD9A29C202B1C9B146"/>
        <w:category>
          <w:name w:val="כללי"/>
          <w:gallery w:val="placeholder"/>
        </w:category>
        <w:types>
          <w:type w:val="bbPlcHdr"/>
        </w:types>
        <w:behaviors>
          <w:behavior w:val="content"/>
        </w:behaviors>
        <w:guid w:val="{02B01411-EAD5-42E0-8FBA-6FA12F579111}"/>
      </w:docPartPr>
      <w:docPartBody>
        <w:p w:rsidR="009965F8" w:rsidRDefault="00192C40" w:rsidP="00192C40">
          <w:pPr>
            <w:pStyle w:val="23B4E845A45B48DD9A29C202B1C9B146"/>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C40"/>
    <w:rsid w:val="00192C40"/>
    <w:rsid w:val="00882D92"/>
    <w:rsid w:val="009965F8"/>
    <w:rsid w:val="00BB41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B4E845A45B48DD9A29C202B1C9B146">
    <w:name w:val="23B4E845A45B48DD9A29C202B1C9B146"/>
    <w:rsid w:val="00192C4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2775</Words>
  <Characters>13878</Characters>
  <Application>Microsoft Office Word</Application>
  <DocSecurity>0</DocSecurity>
  <Lines>115</Lines>
  <Paragraphs>33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2023-07-04T06:59:00Z</dcterms:created>
  <dcterms:modified xsi:type="dcterms:W3CDTF">2023-07-04T06:59:00Z</dcterms:modified>
</cp:coreProperties>
</file>